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C78D2">
      <w:pPr>
        <w:spacing w:line="640" w:lineRule="exact"/>
        <w:jc w:val="left"/>
        <w:rPr>
          <w:rFonts w:hint="eastAsia" w:eastAsia="黑体"/>
          <w:bCs/>
          <w:sz w:val="28"/>
          <w:szCs w:val="28"/>
        </w:rPr>
      </w:pPr>
      <w:r>
        <w:rPr>
          <w:rFonts w:hint="eastAsia" w:eastAsia="黑体"/>
          <w:bCs/>
          <w:sz w:val="28"/>
          <w:szCs w:val="28"/>
        </w:rPr>
        <w:t>附件3</w:t>
      </w:r>
    </w:p>
    <w:p w14:paraId="310CF915">
      <w:pPr>
        <w:spacing w:line="640" w:lineRule="exact"/>
        <w:jc w:val="center"/>
        <w:rPr>
          <w:rFonts w:hint="eastAsia" w:ascii="华文仿宋" w:hAnsi="华文仿宋" w:eastAsia="华文仿宋" w:cs="华文仿宋"/>
          <w:b/>
          <w:sz w:val="44"/>
          <w:szCs w:val="44"/>
        </w:rPr>
      </w:pPr>
      <w:r>
        <w:rPr>
          <w:rFonts w:hint="eastAsia" w:ascii="华文仿宋" w:hAnsi="华文仿宋" w:eastAsia="华文仿宋" w:cs="华文仿宋"/>
          <w:b/>
          <w:sz w:val="44"/>
          <w:szCs w:val="44"/>
        </w:rPr>
        <w:t>四川省</w:t>
      </w:r>
      <w:r>
        <w:rPr>
          <w:rFonts w:hint="eastAsia" w:ascii="华文仿宋" w:hAnsi="华文仿宋" w:eastAsia="华文仿宋" w:cs="华文仿宋"/>
          <w:b/>
          <w:sz w:val="44"/>
          <w:szCs w:val="44"/>
          <w:lang w:eastAsia="zh-CN"/>
        </w:rPr>
        <w:t>2025年上半年</w:t>
      </w:r>
      <w:r>
        <w:rPr>
          <w:rFonts w:hint="eastAsia" w:ascii="华文仿宋" w:hAnsi="华文仿宋" w:eastAsia="华文仿宋" w:cs="华文仿宋"/>
          <w:b/>
          <w:sz w:val="44"/>
          <w:szCs w:val="44"/>
        </w:rPr>
        <w:t>高等教育自学考试毕业审核和毕业证书办理工作日程安排表</w:t>
      </w:r>
    </w:p>
    <w:tbl>
      <w:tblPr>
        <w:tblStyle w:val="2"/>
        <w:tblpPr w:leftFromText="180" w:rightFromText="180" w:vertAnchor="text" w:horzAnchor="margin" w:tblpXSpec="center" w:tblpY="371"/>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7"/>
        <w:gridCol w:w="6387"/>
      </w:tblGrid>
      <w:tr w14:paraId="132A5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3077" w:type="dxa"/>
            <w:noWrap w:val="0"/>
            <w:vAlign w:val="center"/>
          </w:tcPr>
          <w:p w14:paraId="4D889B40">
            <w:pPr>
              <w:spacing w:line="400" w:lineRule="exact"/>
              <w:ind w:left="840" w:hanging="840" w:hangingChars="300"/>
              <w:jc w:val="center"/>
              <w:rPr>
                <w:rFonts w:eastAsia="方正仿宋_GBK"/>
                <w:b/>
                <w:bCs/>
                <w:sz w:val="28"/>
                <w:szCs w:val="28"/>
              </w:rPr>
            </w:pPr>
            <w:r>
              <w:rPr>
                <w:rFonts w:eastAsia="方正仿宋_GBK"/>
                <w:b/>
                <w:bCs/>
                <w:sz w:val="28"/>
                <w:szCs w:val="28"/>
              </w:rPr>
              <w:t>时  间</w:t>
            </w:r>
          </w:p>
        </w:tc>
        <w:tc>
          <w:tcPr>
            <w:tcW w:w="6387" w:type="dxa"/>
            <w:noWrap w:val="0"/>
            <w:vAlign w:val="center"/>
          </w:tcPr>
          <w:p w14:paraId="3736C298">
            <w:pPr>
              <w:spacing w:line="400" w:lineRule="exact"/>
              <w:ind w:left="840" w:hanging="840" w:hangingChars="300"/>
              <w:jc w:val="center"/>
              <w:rPr>
                <w:rFonts w:eastAsia="方正仿宋_GBK"/>
                <w:b/>
                <w:bCs/>
                <w:sz w:val="28"/>
                <w:szCs w:val="28"/>
              </w:rPr>
            </w:pPr>
            <w:r>
              <w:rPr>
                <w:rFonts w:eastAsia="方正仿宋_GBK"/>
                <w:b/>
                <w:bCs/>
                <w:sz w:val="28"/>
                <w:szCs w:val="28"/>
              </w:rPr>
              <w:t>工作内容</w:t>
            </w:r>
          </w:p>
        </w:tc>
      </w:tr>
      <w:tr w14:paraId="72F3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3077" w:type="dxa"/>
            <w:noWrap w:val="0"/>
            <w:vAlign w:val="center"/>
          </w:tcPr>
          <w:p w14:paraId="54E5F6AA">
            <w:pPr>
              <w:spacing w:line="400" w:lineRule="exact"/>
              <w:ind w:left="840" w:hanging="840" w:hangingChars="300"/>
              <w:jc w:val="center"/>
              <w:rPr>
                <w:rFonts w:ascii="仿宋" w:hAnsi="仿宋" w:eastAsia="仿宋"/>
                <w:color w:val="000000"/>
                <w:w w:val="90"/>
                <w:sz w:val="28"/>
                <w:szCs w:val="28"/>
              </w:rPr>
            </w:pPr>
            <w:r>
              <w:rPr>
                <w:rFonts w:hint="eastAsia" w:ascii="仿宋" w:hAnsi="仿宋" w:eastAsia="仿宋"/>
                <w:color w:val="000000"/>
                <w:sz w:val="28"/>
                <w:szCs w:val="28"/>
                <w:lang w:val="en-US" w:eastAsia="zh-CN"/>
              </w:rPr>
              <w:t>5</w:t>
            </w:r>
            <w:r>
              <w:rPr>
                <w:rFonts w:hint="eastAsia" w:ascii="仿宋" w:hAnsi="仿宋" w:eastAsia="仿宋"/>
                <w:color w:val="000000"/>
                <w:sz w:val="28"/>
                <w:szCs w:val="28"/>
              </w:rPr>
              <w:t>月</w:t>
            </w:r>
            <w:r>
              <w:rPr>
                <w:rFonts w:hint="eastAsia" w:ascii="仿宋" w:hAnsi="仿宋" w:eastAsia="仿宋"/>
                <w:color w:val="000000"/>
                <w:sz w:val="28"/>
                <w:szCs w:val="28"/>
                <w:lang w:val="en-US" w:eastAsia="zh-CN"/>
              </w:rPr>
              <w:t>7</w:t>
            </w:r>
            <w:r>
              <w:rPr>
                <w:rFonts w:hint="eastAsia" w:ascii="仿宋" w:hAnsi="仿宋" w:eastAsia="仿宋"/>
                <w:color w:val="000000"/>
                <w:sz w:val="28"/>
                <w:szCs w:val="28"/>
              </w:rPr>
              <w:t>日至</w:t>
            </w:r>
            <w:r>
              <w:rPr>
                <w:rFonts w:hint="eastAsia" w:ascii="仿宋" w:hAnsi="仿宋" w:eastAsia="仿宋"/>
                <w:color w:val="000000"/>
                <w:sz w:val="28"/>
                <w:szCs w:val="28"/>
                <w:lang w:val="en-US" w:eastAsia="zh-CN"/>
              </w:rPr>
              <w:t>13</w:t>
            </w:r>
            <w:r>
              <w:rPr>
                <w:rFonts w:hint="eastAsia" w:ascii="仿宋" w:hAnsi="仿宋" w:eastAsia="仿宋"/>
                <w:color w:val="000000"/>
                <w:sz w:val="28"/>
                <w:szCs w:val="28"/>
              </w:rPr>
              <w:t>日</w:t>
            </w:r>
          </w:p>
        </w:tc>
        <w:tc>
          <w:tcPr>
            <w:tcW w:w="6387" w:type="dxa"/>
            <w:noWrap w:val="0"/>
            <w:vAlign w:val="center"/>
          </w:tcPr>
          <w:p w14:paraId="1783B895">
            <w:pPr>
              <w:spacing w:line="400" w:lineRule="exact"/>
              <w:jc w:val="left"/>
              <w:rPr>
                <w:rFonts w:ascii="仿宋" w:hAnsi="仿宋" w:eastAsia="仿宋"/>
                <w:sz w:val="28"/>
                <w:szCs w:val="28"/>
              </w:rPr>
            </w:pPr>
            <w:r>
              <w:rPr>
                <w:rFonts w:hint="eastAsia" w:ascii="仿宋" w:hAnsi="仿宋" w:eastAsia="仿宋"/>
                <w:sz w:val="28"/>
                <w:szCs w:val="28"/>
              </w:rPr>
              <w:t>拟申请专升本专业毕业</w:t>
            </w:r>
            <w:r>
              <w:rPr>
                <w:rFonts w:ascii="仿宋" w:hAnsi="仿宋" w:eastAsia="仿宋"/>
                <w:sz w:val="28"/>
                <w:szCs w:val="28"/>
              </w:rPr>
              <w:t>考生提交前置学历</w:t>
            </w:r>
            <w:r>
              <w:rPr>
                <w:rFonts w:hint="eastAsia" w:ascii="仿宋" w:hAnsi="仿宋" w:eastAsia="仿宋"/>
                <w:sz w:val="28"/>
                <w:szCs w:val="28"/>
              </w:rPr>
              <w:t>初审申</w:t>
            </w:r>
            <w:r>
              <w:rPr>
                <w:rFonts w:ascii="仿宋" w:hAnsi="仿宋" w:eastAsia="仿宋"/>
                <w:sz w:val="28"/>
                <w:szCs w:val="28"/>
              </w:rPr>
              <w:t>请。</w:t>
            </w:r>
          </w:p>
        </w:tc>
      </w:tr>
      <w:tr w14:paraId="03108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3077" w:type="dxa"/>
            <w:noWrap w:val="0"/>
            <w:vAlign w:val="center"/>
          </w:tcPr>
          <w:p w14:paraId="124900BB">
            <w:pPr>
              <w:spacing w:line="400" w:lineRule="exact"/>
              <w:ind w:left="840" w:hanging="840" w:hangingChars="300"/>
              <w:jc w:val="center"/>
              <w:rPr>
                <w:rFonts w:ascii="仿宋" w:hAnsi="仿宋" w:eastAsia="仿宋"/>
                <w:color w:val="000000"/>
                <w:sz w:val="28"/>
                <w:szCs w:val="28"/>
              </w:rPr>
            </w:pPr>
            <w:r>
              <w:rPr>
                <w:rFonts w:hint="eastAsia" w:ascii="仿宋" w:hAnsi="仿宋" w:eastAsia="仿宋"/>
                <w:color w:val="000000"/>
                <w:sz w:val="28"/>
                <w:szCs w:val="28"/>
                <w:lang w:val="en-US" w:eastAsia="zh-CN"/>
              </w:rPr>
              <w:t>5</w:t>
            </w:r>
            <w:r>
              <w:rPr>
                <w:rFonts w:hint="eastAsia" w:ascii="仿宋" w:hAnsi="仿宋" w:eastAsia="仿宋"/>
                <w:color w:val="000000"/>
                <w:sz w:val="28"/>
                <w:szCs w:val="28"/>
              </w:rPr>
              <w:t>月</w:t>
            </w:r>
            <w:r>
              <w:rPr>
                <w:rFonts w:hint="eastAsia" w:ascii="仿宋" w:hAnsi="仿宋" w:eastAsia="仿宋"/>
                <w:color w:val="000000"/>
                <w:sz w:val="28"/>
                <w:szCs w:val="28"/>
                <w:lang w:val="en-US" w:eastAsia="zh-CN"/>
              </w:rPr>
              <w:t>8</w:t>
            </w:r>
            <w:r>
              <w:rPr>
                <w:rFonts w:hint="eastAsia" w:ascii="仿宋" w:hAnsi="仿宋" w:eastAsia="仿宋"/>
                <w:color w:val="000000"/>
                <w:sz w:val="28"/>
                <w:szCs w:val="28"/>
              </w:rPr>
              <w:t>日至</w:t>
            </w:r>
            <w:r>
              <w:rPr>
                <w:rFonts w:hint="eastAsia" w:ascii="仿宋" w:hAnsi="仿宋" w:eastAsia="仿宋"/>
                <w:color w:val="000000"/>
                <w:sz w:val="28"/>
                <w:szCs w:val="28"/>
                <w:lang w:val="en-US" w:eastAsia="zh-CN"/>
              </w:rPr>
              <w:t>13</w:t>
            </w:r>
            <w:r>
              <w:rPr>
                <w:rFonts w:hint="eastAsia" w:ascii="仿宋" w:hAnsi="仿宋" w:eastAsia="仿宋"/>
                <w:color w:val="000000"/>
                <w:sz w:val="28"/>
                <w:szCs w:val="28"/>
              </w:rPr>
              <w:t>日</w:t>
            </w:r>
          </w:p>
        </w:tc>
        <w:tc>
          <w:tcPr>
            <w:tcW w:w="6387" w:type="dxa"/>
            <w:noWrap w:val="0"/>
            <w:vAlign w:val="center"/>
          </w:tcPr>
          <w:p w14:paraId="4DAEC7CB">
            <w:pPr>
              <w:spacing w:line="400" w:lineRule="exact"/>
              <w:jc w:val="left"/>
              <w:rPr>
                <w:rFonts w:hint="eastAsia" w:ascii="仿宋" w:hAnsi="仿宋" w:eastAsia="仿宋"/>
                <w:sz w:val="28"/>
                <w:szCs w:val="28"/>
              </w:rPr>
            </w:pPr>
            <w:r>
              <w:rPr>
                <w:rFonts w:hint="eastAsia" w:ascii="仿宋" w:hAnsi="仿宋" w:eastAsia="仿宋"/>
                <w:sz w:val="28"/>
                <w:szCs w:val="28"/>
              </w:rPr>
              <w:t>省教育考试院进行前置学历人工初审并反馈初审结果。</w:t>
            </w:r>
          </w:p>
        </w:tc>
      </w:tr>
      <w:tr w14:paraId="05B3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0" w:hRule="atLeast"/>
        </w:trPr>
        <w:tc>
          <w:tcPr>
            <w:tcW w:w="3077" w:type="dxa"/>
            <w:noWrap w:val="0"/>
            <w:vAlign w:val="center"/>
          </w:tcPr>
          <w:p w14:paraId="6357AB91">
            <w:pPr>
              <w:spacing w:line="400" w:lineRule="exact"/>
              <w:ind w:left="840" w:hanging="840" w:hangingChars="300"/>
              <w:jc w:val="center"/>
              <w:rPr>
                <w:rFonts w:ascii="仿宋" w:hAnsi="仿宋" w:eastAsia="仿宋"/>
                <w:w w:val="80"/>
                <w:sz w:val="28"/>
                <w:szCs w:val="28"/>
              </w:rPr>
            </w:pPr>
            <w:r>
              <w:rPr>
                <w:rFonts w:hint="eastAsia" w:ascii="仿宋" w:hAnsi="仿宋" w:eastAsia="仿宋"/>
                <w:sz w:val="28"/>
                <w:szCs w:val="28"/>
                <w:lang w:val="en-US" w:eastAsia="zh-CN"/>
              </w:rPr>
              <w:t>5</w:t>
            </w:r>
            <w:r>
              <w:rPr>
                <w:rFonts w:hint="eastAsia" w:ascii="仿宋" w:hAnsi="仿宋" w:eastAsia="仿宋"/>
                <w:sz w:val="28"/>
                <w:szCs w:val="28"/>
              </w:rPr>
              <w:t>月</w:t>
            </w:r>
            <w:r>
              <w:rPr>
                <w:rFonts w:hint="eastAsia" w:ascii="仿宋" w:hAnsi="仿宋" w:eastAsia="仿宋"/>
                <w:sz w:val="28"/>
                <w:szCs w:val="28"/>
                <w:lang w:val="en-US" w:eastAsia="zh-CN"/>
              </w:rPr>
              <w:t>19</w:t>
            </w:r>
            <w:r>
              <w:rPr>
                <w:rFonts w:hint="eastAsia" w:ascii="仿宋" w:hAnsi="仿宋" w:eastAsia="仿宋"/>
                <w:sz w:val="28"/>
                <w:szCs w:val="28"/>
              </w:rPr>
              <w:t>日至</w:t>
            </w:r>
            <w:r>
              <w:rPr>
                <w:rFonts w:hint="eastAsia" w:ascii="仿宋" w:hAnsi="仿宋" w:eastAsia="仿宋"/>
                <w:sz w:val="28"/>
                <w:szCs w:val="28"/>
                <w:lang w:val="en-US" w:eastAsia="zh-CN"/>
              </w:rPr>
              <w:t>23</w:t>
            </w:r>
            <w:r>
              <w:rPr>
                <w:rFonts w:hint="eastAsia" w:ascii="仿宋" w:hAnsi="仿宋" w:eastAsia="仿宋"/>
                <w:sz w:val="28"/>
                <w:szCs w:val="28"/>
              </w:rPr>
              <w:t>日</w:t>
            </w:r>
          </w:p>
        </w:tc>
        <w:tc>
          <w:tcPr>
            <w:tcW w:w="6387" w:type="dxa"/>
            <w:noWrap w:val="0"/>
            <w:vAlign w:val="center"/>
          </w:tcPr>
          <w:p w14:paraId="214005F3">
            <w:pPr>
              <w:spacing w:line="400" w:lineRule="exact"/>
              <w:jc w:val="left"/>
              <w:rPr>
                <w:rFonts w:ascii="仿宋" w:hAnsi="仿宋" w:eastAsia="仿宋"/>
                <w:sz w:val="28"/>
                <w:szCs w:val="28"/>
              </w:rPr>
            </w:pPr>
            <w:r>
              <w:rPr>
                <w:rFonts w:hint="eastAsia" w:ascii="仿宋" w:hAnsi="仿宋" w:eastAsia="仿宋"/>
                <w:sz w:val="28"/>
                <w:szCs w:val="28"/>
              </w:rPr>
              <w:t>考生按需办理以下业务：</w:t>
            </w:r>
          </w:p>
          <w:p w14:paraId="7DD1EC5A">
            <w:pPr>
              <w:spacing w:line="400" w:lineRule="exact"/>
              <w:jc w:val="left"/>
              <w:rPr>
                <w:rFonts w:ascii="仿宋" w:hAnsi="仿宋" w:eastAsia="仿宋"/>
                <w:sz w:val="28"/>
                <w:szCs w:val="28"/>
              </w:rPr>
            </w:pPr>
            <w:r>
              <w:rPr>
                <w:rFonts w:ascii="仿宋" w:hAnsi="仿宋" w:eastAsia="仿宋"/>
                <w:sz w:val="28"/>
                <w:szCs w:val="28"/>
              </w:rPr>
              <w:t>1.考生提交毕业申请</w:t>
            </w:r>
            <w:r>
              <w:rPr>
                <w:rFonts w:hint="eastAsia" w:ascii="仿宋" w:hAnsi="仿宋" w:eastAsia="仿宋"/>
                <w:sz w:val="28"/>
                <w:szCs w:val="28"/>
              </w:rPr>
              <w:t>数据和</w:t>
            </w:r>
            <w:r>
              <w:rPr>
                <w:rFonts w:ascii="仿宋" w:hAnsi="仿宋" w:eastAsia="仿宋"/>
                <w:sz w:val="28"/>
                <w:szCs w:val="28"/>
              </w:rPr>
              <w:t>毕业申请</w:t>
            </w:r>
            <w:r>
              <w:rPr>
                <w:rFonts w:hint="eastAsia" w:ascii="仿宋" w:hAnsi="仿宋" w:eastAsia="仿宋"/>
                <w:sz w:val="28"/>
                <w:szCs w:val="28"/>
              </w:rPr>
              <w:t>电子</w:t>
            </w:r>
            <w:r>
              <w:rPr>
                <w:rFonts w:ascii="仿宋" w:hAnsi="仿宋" w:eastAsia="仿宋"/>
                <w:sz w:val="28"/>
                <w:szCs w:val="28"/>
              </w:rPr>
              <w:t>材料；</w:t>
            </w:r>
          </w:p>
          <w:p w14:paraId="600E6B64">
            <w:pPr>
              <w:spacing w:line="400" w:lineRule="exact"/>
              <w:jc w:val="left"/>
              <w:rPr>
                <w:rFonts w:ascii="仿宋" w:hAnsi="仿宋" w:eastAsia="仿宋"/>
                <w:sz w:val="28"/>
                <w:szCs w:val="28"/>
              </w:rPr>
            </w:pPr>
            <w:r>
              <w:rPr>
                <w:rFonts w:hint="eastAsia" w:ascii="仿宋" w:hAnsi="仿宋" w:eastAsia="仿宋"/>
                <w:sz w:val="28"/>
                <w:szCs w:val="28"/>
              </w:rPr>
              <w:t>2</w:t>
            </w:r>
            <w:r>
              <w:rPr>
                <w:rFonts w:ascii="仿宋" w:hAnsi="仿宋" w:eastAsia="仿宋"/>
                <w:sz w:val="28"/>
                <w:szCs w:val="28"/>
              </w:rPr>
              <w:t>.因专业停考无法提交毕业申请的考生</w:t>
            </w:r>
            <w:r>
              <w:rPr>
                <w:rFonts w:hint="eastAsia" w:ascii="仿宋" w:hAnsi="仿宋" w:eastAsia="仿宋"/>
                <w:sz w:val="28"/>
                <w:szCs w:val="28"/>
              </w:rPr>
              <w:t>，</w:t>
            </w:r>
            <w:r>
              <w:rPr>
                <w:rFonts w:ascii="仿宋" w:hAnsi="仿宋" w:eastAsia="仿宋"/>
                <w:sz w:val="28"/>
                <w:szCs w:val="28"/>
              </w:rPr>
              <w:t>填写《停考专业毕业申请表》</w:t>
            </w:r>
            <w:r>
              <w:rPr>
                <w:rFonts w:hint="eastAsia" w:ascii="仿宋" w:hAnsi="仿宋" w:eastAsia="仿宋"/>
                <w:sz w:val="28"/>
                <w:szCs w:val="28"/>
              </w:rPr>
              <w:t>并联系准考证号所属县（市、区）招生考试机构或主考学校；</w:t>
            </w:r>
          </w:p>
          <w:p w14:paraId="4FCB9765">
            <w:pPr>
              <w:spacing w:line="400" w:lineRule="exact"/>
              <w:jc w:val="left"/>
              <w:rPr>
                <w:rFonts w:ascii="仿宋" w:hAnsi="仿宋" w:eastAsia="仿宋"/>
                <w:sz w:val="28"/>
                <w:szCs w:val="28"/>
              </w:rPr>
            </w:pPr>
            <w:r>
              <w:rPr>
                <w:rFonts w:hint="eastAsia" w:ascii="仿宋" w:hAnsi="仿宋" w:eastAsia="仿宋"/>
                <w:sz w:val="28"/>
                <w:szCs w:val="28"/>
              </w:rPr>
              <w:t>3.考生向准考证号所属县（市、区）招生考试机构或主考学校提交</w:t>
            </w:r>
            <w:r>
              <w:rPr>
                <w:rFonts w:ascii="仿宋" w:hAnsi="仿宋" w:eastAsia="仿宋"/>
                <w:sz w:val="28"/>
                <w:szCs w:val="28"/>
              </w:rPr>
              <w:t>毕业证明申请。</w:t>
            </w:r>
          </w:p>
        </w:tc>
      </w:tr>
      <w:tr w14:paraId="63FB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077" w:type="dxa"/>
            <w:noWrap w:val="0"/>
            <w:vAlign w:val="center"/>
          </w:tcPr>
          <w:p w14:paraId="083A6C55">
            <w:pPr>
              <w:spacing w:line="400" w:lineRule="exact"/>
              <w:jc w:val="center"/>
              <w:rPr>
                <w:rFonts w:ascii="仿宋" w:hAnsi="仿宋" w:eastAsia="仿宋"/>
                <w:color w:val="000000"/>
                <w:sz w:val="28"/>
                <w:szCs w:val="28"/>
              </w:rPr>
            </w:pPr>
            <w:r>
              <w:rPr>
                <w:rFonts w:hint="eastAsia" w:ascii="仿宋" w:hAnsi="仿宋" w:eastAsia="仿宋"/>
                <w:color w:val="000000"/>
                <w:sz w:val="28"/>
                <w:szCs w:val="28"/>
                <w:lang w:val="en-US" w:eastAsia="zh-CN"/>
              </w:rPr>
              <w:t>6</w:t>
            </w:r>
            <w:r>
              <w:rPr>
                <w:rFonts w:hint="eastAsia" w:ascii="仿宋" w:hAnsi="仿宋" w:eastAsia="仿宋"/>
                <w:color w:val="000000"/>
                <w:sz w:val="28"/>
                <w:szCs w:val="28"/>
              </w:rPr>
              <w:t>月</w:t>
            </w:r>
            <w:r>
              <w:rPr>
                <w:rFonts w:hint="eastAsia" w:ascii="仿宋" w:hAnsi="仿宋" w:eastAsia="仿宋"/>
                <w:color w:val="000000"/>
                <w:sz w:val="28"/>
                <w:szCs w:val="28"/>
                <w:lang w:val="en-US" w:eastAsia="zh-CN"/>
              </w:rPr>
              <w:t>4</w:t>
            </w:r>
            <w:r>
              <w:rPr>
                <w:rFonts w:hint="eastAsia" w:ascii="仿宋" w:hAnsi="仿宋" w:eastAsia="仿宋"/>
                <w:color w:val="000000"/>
                <w:sz w:val="28"/>
                <w:szCs w:val="28"/>
              </w:rPr>
              <w:t>日至</w:t>
            </w:r>
            <w:r>
              <w:rPr>
                <w:rFonts w:hint="eastAsia" w:ascii="仿宋" w:hAnsi="仿宋" w:eastAsia="仿宋"/>
                <w:color w:val="000000"/>
                <w:sz w:val="28"/>
                <w:szCs w:val="28"/>
                <w:lang w:val="en-US" w:eastAsia="zh-CN"/>
              </w:rPr>
              <w:t>7</w:t>
            </w:r>
            <w:r>
              <w:rPr>
                <w:rFonts w:hint="eastAsia" w:ascii="仿宋" w:hAnsi="仿宋" w:eastAsia="仿宋"/>
                <w:color w:val="000000"/>
                <w:sz w:val="28"/>
                <w:szCs w:val="28"/>
              </w:rPr>
              <w:t>月上旬</w:t>
            </w:r>
          </w:p>
          <w:p w14:paraId="30CB75C1">
            <w:pPr>
              <w:spacing w:line="400" w:lineRule="exact"/>
              <w:ind w:left="840" w:hanging="840" w:hangingChars="300"/>
              <w:jc w:val="center"/>
              <w:rPr>
                <w:rFonts w:ascii="仿宋" w:hAnsi="仿宋" w:eastAsia="仿宋"/>
                <w:sz w:val="28"/>
                <w:szCs w:val="28"/>
              </w:rPr>
            </w:pPr>
          </w:p>
        </w:tc>
        <w:tc>
          <w:tcPr>
            <w:tcW w:w="6387" w:type="dxa"/>
            <w:tcBorders>
              <w:bottom w:val="single" w:color="auto" w:sz="4" w:space="0"/>
            </w:tcBorders>
            <w:noWrap w:val="0"/>
            <w:vAlign w:val="center"/>
          </w:tcPr>
          <w:p w14:paraId="007948D8">
            <w:pPr>
              <w:numPr>
                <w:ilvl w:val="0"/>
                <w:numId w:val="1"/>
              </w:numPr>
              <w:spacing w:line="400" w:lineRule="exact"/>
              <w:jc w:val="left"/>
              <w:rPr>
                <w:rFonts w:hint="eastAsia" w:ascii="仿宋" w:hAnsi="仿宋" w:eastAsia="仿宋"/>
                <w:sz w:val="28"/>
                <w:szCs w:val="28"/>
              </w:rPr>
            </w:pPr>
            <w:r>
              <w:rPr>
                <w:rFonts w:hint="eastAsia" w:ascii="仿宋" w:hAnsi="仿宋" w:eastAsia="仿宋"/>
                <w:sz w:val="28"/>
                <w:szCs w:val="28"/>
              </w:rPr>
              <w:t>主考学校和各级招生考试机构完成毕业申请审核工作；</w:t>
            </w:r>
          </w:p>
          <w:p w14:paraId="1F633254">
            <w:pPr>
              <w:numPr>
                <w:ilvl w:val="0"/>
                <w:numId w:val="1"/>
              </w:numPr>
              <w:spacing w:line="400" w:lineRule="exact"/>
              <w:jc w:val="left"/>
              <w:rPr>
                <w:rFonts w:ascii="仿宋" w:hAnsi="仿宋" w:eastAsia="仿宋"/>
                <w:sz w:val="28"/>
                <w:szCs w:val="28"/>
              </w:rPr>
            </w:pPr>
            <w:r>
              <w:rPr>
                <w:rFonts w:hint="eastAsia" w:ascii="仿宋" w:hAnsi="仿宋" w:eastAsia="仿宋"/>
                <w:sz w:val="28"/>
                <w:szCs w:val="28"/>
              </w:rPr>
              <w:t>省教育考试院完成毕业数据检查、编号等工作。</w:t>
            </w:r>
          </w:p>
        </w:tc>
      </w:tr>
      <w:tr w14:paraId="77FAC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3077" w:type="dxa"/>
            <w:noWrap w:val="0"/>
            <w:vAlign w:val="center"/>
          </w:tcPr>
          <w:p w14:paraId="048070FB">
            <w:pPr>
              <w:spacing w:line="400" w:lineRule="exact"/>
              <w:ind w:left="840" w:hanging="840" w:hangingChars="300"/>
              <w:jc w:val="center"/>
              <w:rPr>
                <w:rFonts w:ascii="仿宋" w:hAnsi="仿宋" w:eastAsia="仿宋"/>
                <w:sz w:val="28"/>
                <w:szCs w:val="28"/>
              </w:rPr>
            </w:pPr>
            <w:r>
              <w:rPr>
                <w:rFonts w:hint="eastAsia" w:ascii="仿宋" w:hAnsi="仿宋" w:eastAsia="仿宋"/>
                <w:sz w:val="28"/>
                <w:szCs w:val="28"/>
                <w:lang w:val="en-US" w:eastAsia="zh-CN"/>
              </w:rPr>
              <w:t>7</w:t>
            </w:r>
            <w:r>
              <w:rPr>
                <w:rFonts w:hint="eastAsia" w:ascii="仿宋" w:hAnsi="仿宋" w:eastAsia="仿宋"/>
                <w:sz w:val="28"/>
                <w:szCs w:val="28"/>
              </w:rPr>
              <w:t>月上旬</w:t>
            </w:r>
          </w:p>
        </w:tc>
        <w:tc>
          <w:tcPr>
            <w:tcW w:w="6387" w:type="dxa"/>
            <w:tcBorders>
              <w:bottom w:val="single" w:color="auto" w:sz="4" w:space="0"/>
            </w:tcBorders>
            <w:noWrap w:val="0"/>
            <w:vAlign w:val="center"/>
          </w:tcPr>
          <w:p w14:paraId="6DD66AC5">
            <w:pPr>
              <w:spacing w:line="400" w:lineRule="exact"/>
              <w:jc w:val="left"/>
              <w:rPr>
                <w:rFonts w:hint="eastAsia" w:ascii="仿宋" w:hAnsi="仿宋" w:eastAsia="仿宋"/>
                <w:sz w:val="28"/>
                <w:szCs w:val="28"/>
              </w:rPr>
            </w:pPr>
            <w:r>
              <w:rPr>
                <w:rFonts w:hint="eastAsia" w:ascii="仿宋" w:hAnsi="仿宋" w:eastAsia="仿宋"/>
                <w:sz w:val="28"/>
                <w:szCs w:val="28"/>
              </w:rPr>
              <w:t>省教育考试院向教育部相关单位上报毕业信息电子注册数据，等待审核结果反馈。</w:t>
            </w:r>
          </w:p>
        </w:tc>
      </w:tr>
      <w:tr w14:paraId="030C2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trPr>
        <w:tc>
          <w:tcPr>
            <w:tcW w:w="3077" w:type="dxa"/>
            <w:noWrap w:val="0"/>
            <w:vAlign w:val="center"/>
          </w:tcPr>
          <w:p w14:paraId="77172FD1">
            <w:pPr>
              <w:spacing w:line="400" w:lineRule="exact"/>
              <w:jc w:val="center"/>
              <w:rPr>
                <w:rFonts w:hint="eastAsia" w:ascii="仿宋" w:hAnsi="仿宋" w:eastAsia="仿宋"/>
                <w:color w:val="000000"/>
                <w:sz w:val="28"/>
                <w:szCs w:val="28"/>
              </w:rPr>
            </w:pPr>
            <w:r>
              <w:rPr>
                <w:rFonts w:hint="eastAsia" w:ascii="仿宋" w:hAnsi="仿宋" w:eastAsia="仿宋"/>
                <w:color w:val="000000"/>
                <w:sz w:val="28"/>
                <w:szCs w:val="28"/>
              </w:rPr>
              <w:t>教育部学信网反馈未通照片和前置学历数据后</w:t>
            </w:r>
          </w:p>
        </w:tc>
        <w:tc>
          <w:tcPr>
            <w:tcW w:w="6387" w:type="dxa"/>
            <w:tcBorders>
              <w:bottom w:val="single" w:color="auto" w:sz="4" w:space="0"/>
            </w:tcBorders>
            <w:noWrap w:val="0"/>
            <w:vAlign w:val="center"/>
          </w:tcPr>
          <w:p w14:paraId="005C0220">
            <w:pPr>
              <w:numPr>
                <w:ilvl w:val="0"/>
                <w:numId w:val="2"/>
              </w:numPr>
              <w:spacing w:line="400" w:lineRule="exact"/>
              <w:jc w:val="left"/>
              <w:rPr>
                <w:rFonts w:ascii="仿宋" w:hAnsi="仿宋" w:eastAsia="仿宋"/>
                <w:color w:val="000000"/>
                <w:sz w:val="28"/>
                <w:szCs w:val="28"/>
              </w:rPr>
            </w:pPr>
            <w:r>
              <w:rPr>
                <w:rFonts w:hint="eastAsia" w:ascii="仿宋" w:hAnsi="仿宋" w:eastAsia="仿宋"/>
                <w:color w:val="000000"/>
                <w:sz w:val="28"/>
                <w:szCs w:val="28"/>
              </w:rPr>
              <w:t>省教育考试院逐级通知考生更换照片或提交前置学历复查所需相关证明材料；</w:t>
            </w:r>
          </w:p>
          <w:p w14:paraId="22FF4C2A">
            <w:pPr>
              <w:numPr>
                <w:ilvl w:val="0"/>
                <w:numId w:val="2"/>
              </w:numPr>
              <w:spacing w:line="400" w:lineRule="exact"/>
              <w:jc w:val="left"/>
              <w:rPr>
                <w:rFonts w:ascii="仿宋" w:hAnsi="仿宋" w:eastAsia="仿宋"/>
                <w:color w:val="000000"/>
                <w:sz w:val="28"/>
                <w:szCs w:val="28"/>
              </w:rPr>
            </w:pPr>
            <w:r>
              <w:rPr>
                <w:rFonts w:hint="eastAsia" w:ascii="仿宋" w:hAnsi="仿宋" w:eastAsia="仿宋"/>
                <w:color w:val="000000"/>
                <w:sz w:val="28"/>
                <w:szCs w:val="28"/>
              </w:rPr>
              <w:t>各级招生考试和机构主考学校开展照片和前置学历的复查工作；</w:t>
            </w:r>
          </w:p>
          <w:p w14:paraId="3F54CF4E">
            <w:pPr>
              <w:numPr>
                <w:ilvl w:val="0"/>
                <w:numId w:val="2"/>
              </w:numPr>
              <w:spacing w:line="400" w:lineRule="exact"/>
              <w:jc w:val="left"/>
              <w:rPr>
                <w:rFonts w:ascii="仿宋" w:hAnsi="仿宋" w:eastAsia="仿宋"/>
                <w:color w:val="000000"/>
                <w:sz w:val="28"/>
                <w:szCs w:val="28"/>
              </w:rPr>
            </w:pPr>
            <w:r>
              <w:rPr>
                <w:rFonts w:hint="eastAsia" w:ascii="仿宋" w:hAnsi="仿宋" w:eastAsia="仿宋"/>
                <w:color w:val="000000"/>
                <w:sz w:val="28"/>
                <w:szCs w:val="28"/>
              </w:rPr>
              <w:t>省教育考试院向教育部相关单位报送审核通过考生的毕业信息电子注册数据。</w:t>
            </w:r>
          </w:p>
        </w:tc>
      </w:tr>
      <w:tr w14:paraId="61EF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trPr>
        <w:tc>
          <w:tcPr>
            <w:tcW w:w="3077" w:type="dxa"/>
            <w:noWrap w:val="0"/>
            <w:vAlign w:val="center"/>
          </w:tcPr>
          <w:p w14:paraId="1E7A8CBB">
            <w:pPr>
              <w:spacing w:line="400" w:lineRule="exact"/>
              <w:ind w:left="840" w:hanging="840" w:hangingChars="300"/>
              <w:jc w:val="center"/>
              <w:rPr>
                <w:rFonts w:ascii="仿宋" w:hAnsi="仿宋" w:eastAsia="仿宋"/>
                <w:sz w:val="28"/>
                <w:szCs w:val="28"/>
              </w:rPr>
            </w:pPr>
            <w:r>
              <w:rPr>
                <w:rFonts w:hint="eastAsia" w:ascii="仿宋" w:hAnsi="仿宋" w:eastAsia="仿宋"/>
                <w:sz w:val="28"/>
                <w:szCs w:val="28"/>
              </w:rPr>
              <w:t>毕业信息注册成功后</w:t>
            </w:r>
          </w:p>
        </w:tc>
        <w:tc>
          <w:tcPr>
            <w:tcW w:w="6387" w:type="dxa"/>
            <w:noWrap w:val="0"/>
            <w:vAlign w:val="center"/>
          </w:tcPr>
          <w:p w14:paraId="4C3787C8">
            <w:pPr>
              <w:spacing w:line="400" w:lineRule="exact"/>
              <w:jc w:val="left"/>
              <w:rPr>
                <w:rFonts w:ascii="仿宋" w:hAnsi="仿宋" w:eastAsia="仿宋"/>
                <w:sz w:val="28"/>
                <w:szCs w:val="28"/>
              </w:rPr>
            </w:pPr>
            <w:r>
              <w:rPr>
                <w:rFonts w:hint="eastAsia" w:ascii="仿宋" w:hAnsi="仿宋" w:eastAsia="仿宋"/>
                <w:sz w:val="28"/>
                <w:szCs w:val="28"/>
              </w:rPr>
              <w:t>1.省教育考试院打印毕业证书和毕业生学籍表、主考学校</w:t>
            </w:r>
            <w:r>
              <w:rPr>
                <w:rFonts w:hint="eastAsia" w:ascii="仿宋" w:hAnsi="仿宋" w:eastAsia="仿宋"/>
                <w:sz w:val="28"/>
                <w:szCs w:val="28"/>
                <w:lang w:eastAsia="zh-CN"/>
              </w:rPr>
              <w:t>副署签</w:t>
            </w:r>
            <w:r>
              <w:rPr>
                <w:rFonts w:hint="eastAsia" w:ascii="仿宋" w:hAnsi="仿宋" w:eastAsia="仿宋"/>
                <w:sz w:val="28"/>
                <w:szCs w:val="28"/>
              </w:rPr>
              <w:t>章；</w:t>
            </w:r>
          </w:p>
          <w:p w14:paraId="2153E089">
            <w:pPr>
              <w:spacing w:line="400" w:lineRule="exact"/>
              <w:jc w:val="left"/>
              <w:rPr>
                <w:rFonts w:ascii="仿宋" w:hAnsi="仿宋" w:eastAsia="仿宋"/>
                <w:sz w:val="28"/>
                <w:szCs w:val="28"/>
              </w:rPr>
            </w:pPr>
            <w:r>
              <w:rPr>
                <w:rFonts w:hint="eastAsia" w:ascii="仿宋" w:hAnsi="仿宋" w:eastAsia="仿宋"/>
                <w:sz w:val="28"/>
                <w:szCs w:val="28"/>
              </w:rPr>
              <w:t>2.省教育考试院通知市（州）招生考试机构或主考学校领取并逐级发放毕业证书和毕业生学籍表；</w:t>
            </w:r>
          </w:p>
          <w:p w14:paraId="35F4517E">
            <w:pPr>
              <w:spacing w:line="400" w:lineRule="exact"/>
              <w:jc w:val="left"/>
              <w:rPr>
                <w:rFonts w:ascii="仿宋" w:hAnsi="仿宋" w:eastAsia="仿宋"/>
                <w:sz w:val="28"/>
                <w:szCs w:val="28"/>
              </w:rPr>
            </w:pPr>
            <w:r>
              <w:rPr>
                <w:rFonts w:hint="eastAsia" w:ascii="仿宋" w:hAnsi="仿宋" w:eastAsia="仿宋"/>
                <w:sz w:val="28"/>
                <w:szCs w:val="28"/>
              </w:rPr>
              <w:t>3.考生到准考证号所属县（市、区）招生考试机构或主考学校</w:t>
            </w:r>
            <w:r>
              <w:rPr>
                <w:rFonts w:ascii="仿宋" w:hAnsi="仿宋" w:eastAsia="仿宋"/>
                <w:sz w:val="28"/>
                <w:szCs w:val="28"/>
              </w:rPr>
              <w:t>领取</w:t>
            </w:r>
            <w:r>
              <w:rPr>
                <w:rFonts w:hint="eastAsia" w:ascii="仿宋" w:hAnsi="仿宋" w:eastAsia="仿宋"/>
                <w:sz w:val="28"/>
                <w:szCs w:val="28"/>
              </w:rPr>
              <w:t>上述材料。</w:t>
            </w:r>
          </w:p>
        </w:tc>
      </w:tr>
    </w:tbl>
    <w:p w14:paraId="5FBCF28D">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仿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53EED5"/>
    <w:multiLevelType w:val="singleLevel"/>
    <w:tmpl w:val="B453EED5"/>
    <w:lvl w:ilvl="0" w:tentative="0">
      <w:start w:val="1"/>
      <w:numFmt w:val="decimal"/>
      <w:lvlText w:val="%1."/>
      <w:lvlJc w:val="left"/>
      <w:pPr>
        <w:tabs>
          <w:tab w:val="left" w:pos="312"/>
        </w:tabs>
      </w:pPr>
    </w:lvl>
  </w:abstractNum>
  <w:abstractNum w:abstractNumId="1">
    <w:nsid w:val="7B27B265"/>
    <w:multiLevelType w:val="singleLevel"/>
    <w:tmpl w:val="7B27B265"/>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1C0009"/>
    <w:rsid w:val="491C00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2025-04-22T01:14:00Z</dcterms:created>
  <dc:creator>WPS_1675735716</dc:creator>
  <cp:lastModifiedBy>WPS_1675735716</cp:lastModifiedBy>
  <dcterms:modified xsi:type="dcterms:W3CDTF">2025-04-22T01:14:27Z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6CB42312FCAC4CA3A9D6EE5BE9B2C606_11</vt:lpwstr>
  </property>
  <property fmtid="{D5CDD505-2E9C-101B-9397-08002B2CF9AE}" pid="4" name="KSOTemplateDocerSaveRecord">
    <vt:lpwstr>eyJoZGlkIjoiZjIwOTFlYzVhN2RjOWQyMDZkYzQ1Y2M4MDk0YzhhNDAiLCJ1c2VySWQiOiIxNDcxODc4NzA5In0=</vt:lpwstr>
  </property>
</Properties>
</file>