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8FDD3">
      <w:pPr>
        <w:widowControl/>
        <w:shd w:val="clear" w:color="auto" w:fill="FFFFFF"/>
        <w:spacing w:after="150"/>
        <w:jc w:val="both"/>
        <w:rPr>
          <w:rFonts w:hint="default" w:ascii="黑体" w:hAnsi="黑体" w:eastAsia="黑体" w:cs="Helvetica"/>
          <w:b/>
          <w:bCs/>
          <w:color w:val="000000" w:themeColor="text1"/>
          <w:kern w:val="0"/>
          <w:sz w:val="24"/>
          <w:szCs w:val="24"/>
          <w:lang w:val="en-US" w:eastAsia="zh-CN"/>
          <w14:textFill>
            <w14:solidFill>
              <w14:schemeClr w14:val="tx1"/>
            </w14:solidFill>
          </w14:textFill>
        </w:rPr>
      </w:pPr>
      <w:r>
        <w:rPr>
          <w:rFonts w:hint="eastAsia" w:ascii="黑体" w:hAnsi="黑体" w:eastAsia="黑体" w:cs="Helvetica"/>
          <w:b/>
          <w:bCs/>
          <w:color w:val="000000" w:themeColor="text1"/>
          <w:kern w:val="0"/>
          <w:sz w:val="24"/>
          <w:szCs w:val="24"/>
          <w:lang w:val="en-US" w:eastAsia="zh-CN"/>
          <w14:textFill>
            <w14:solidFill>
              <w14:schemeClr w14:val="tx1"/>
            </w14:solidFill>
          </w14:textFill>
        </w:rPr>
        <w:t>附件1</w:t>
      </w:r>
    </w:p>
    <w:p w14:paraId="4C39D657">
      <w:pPr>
        <w:widowControl/>
        <w:shd w:val="clear" w:color="auto" w:fill="FFFFFF"/>
        <w:spacing w:after="150"/>
        <w:jc w:val="center"/>
        <w:rPr>
          <w:rFonts w:ascii="黑体" w:hAnsi="黑体" w:eastAsia="黑体" w:cs="Helvetica"/>
          <w:color w:val="000000" w:themeColor="text1"/>
          <w:kern w:val="0"/>
          <w:sz w:val="24"/>
          <w:szCs w:val="24"/>
          <w14:textFill>
            <w14:solidFill>
              <w14:schemeClr w14:val="tx1"/>
            </w14:solidFill>
          </w14:textFill>
        </w:rPr>
      </w:pPr>
      <w:r>
        <w:rPr>
          <w:rFonts w:hint="eastAsia" w:ascii="黑体" w:hAnsi="黑体" w:eastAsia="黑体" w:cs="Helvetica"/>
          <w:b/>
          <w:bCs/>
          <w:color w:val="000000" w:themeColor="text1"/>
          <w:kern w:val="0"/>
          <w:sz w:val="24"/>
          <w:szCs w:val="24"/>
          <w14:textFill>
            <w14:solidFill>
              <w14:schemeClr w14:val="tx1"/>
            </w14:solidFill>
          </w14:textFill>
        </w:rPr>
        <w:t>成人高等教育本科生学士</w:t>
      </w:r>
      <w:r>
        <w:fldChar w:fldCharType="begin"/>
      </w:r>
      <w:r>
        <w:instrText xml:space="preserve"> HYPERLINK "http://www.zikao365.com/xueweiyingyu/" </w:instrText>
      </w:r>
      <w:r>
        <w:fldChar w:fldCharType="separate"/>
      </w:r>
      <w:r>
        <w:rPr>
          <w:rFonts w:hint="eastAsia" w:ascii="黑体" w:hAnsi="黑体" w:eastAsia="黑体" w:cs="Helvetica"/>
          <w:b/>
          <w:bCs/>
          <w:color w:val="000000" w:themeColor="text1"/>
          <w:kern w:val="0"/>
          <w:sz w:val="24"/>
          <w:szCs w:val="24"/>
          <w14:textFill>
            <w14:solidFill>
              <w14:schemeClr w14:val="tx1"/>
            </w14:solidFill>
          </w14:textFill>
        </w:rPr>
        <w:t>学位</w:t>
      </w:r>
      <w:r>
        <w:rPr>
          <w:rFonts w:hint="eastAsia" w:ascii="黑体" w:hAnsi="黑体" w:eastAsia="黑体" w:cs="Helvetica"/>
          <w:b/>
          <w:bCs/>
          <w:color w:val="000000" w:themeColor="text1"/>
          <w:kern w:val="0"/>
          <w:sz w:val="24"/>
          <w:szCs w:val="24"/>
          <w:u w:val="single"/>
          <w14:textFill>
            <w14:solidFill>
              <w14:schemeClr w14:val="tx1"/>
            </w14:solidFill>
          </w14:textFill>
        </w:rPr>
        <w:t>英语</w:t>
      </w:r>
      <w:r>
        <w:rPr>
          <w:rFonts w:hint="eastAsia" w:ascii="黑体" w:hAnsi="黑体" w:eastAsia="黑体" w:cs="Helvetica"/>
          <w:b/>
          <w:bCs/>
          <w:color w:val="000000" w:themeColor="text1"/>
          <w:kern w:val="0"/>
          <w:sz w:val="24"/>
          <w:szCs w:val="24"/>
          <w:u w:val="single"/>
          <w14:textFill>
            <w14:solidFill>
              <w14:schemeClr w14:val="tx1"/>
            </w14:solidFill>
          </w14:textFill>
        </w:rPr>
        <w:fldChar w:fldCharType="end"/>
      </w:r>
      <w:r>
        <w:rPr>
          <w:rFonts w:hint="eastAsia" w:ascii="黑体" w:hAnsi="黑体" w:eastAsia="黑体" w:cs="Helvetica"/>
          <w:b/>
          <w:bCs/>
          <w:color w:val="000000" w:themeColor="text1"/>
          <w:kern w:val="0"/>
          <w:sz w:val="24"/>
          <w:szCs w:val="24"/>
          <w14:textFill>
            <w14:solidFill>
              <w14:schemeClr w14:val="tx1"/>
            </w14:solidFill>
          </w14:textFill>
        </w:rPr>
        <w:t>水平考试大纲</w:t>
      </w:r>
    </w:p>
    <w:p w14:paraId="10DFD77A">
      <w:pPr>
        <w:widowControl/>
        <w:shd w:val="clear" w:color="auto" w:fill="FFFFFF"/>
        <w:spacing w:after="150"/>
        <w:jc w:val="center"/>
        <w:rPr>
          <w:rFonts w:ascii="黑体" w:hAnsi="黑体" w:eastAsia="黑体" w:cs="Helvetica"/>
          <w:color w:val="000000" w:themeColor="text1"/>
          <w:kern w:val="0"/>
          <w:sz w:val="24"/>
          <w:szCs w:val="24"/>
          <w14:textFill>
            <w14:solidFill>
              <w14:schemeClr w14:val="tx1"/>
            </w14:solidFill>
          </w14:textFill>
        </w:rPr>
      </w:pPr>
      <w:r>
        <w:rPr>
          <w:rFonts w:hint="eastAsia" w:ascii="黑体" w:hAnsi="黑体" w:eastAsia="黑体" w:cs="Helvetica"/>
          <w:b/>
          <w:bCs/>
          <w:color w:val="000000" w:themeColor="text1"/>
          <w:kern w:val="0"/>
          <w:sz w:val="24"/>
          <w:szCs w:val="24"/>
          <w14:textFill>
            <w14:solidFill>
              <w14:schemeClr w14:val="tx1"/>
            </w14:solidFill>
          </w14:textFill>
        </w:rPr>
        <w:t>（非英语专业）第二版</w:t>
      </w:r>
    </w:p>
    <w:p w14:paraId="524E44AF">
      <w:pPr>
        <w:widowControl/>
        <w:shd w:val="clear" w:color="auto" w:fill="FFFFFF"/>
        <w:spacing w:after="150"/>
        <w:jc w:val="center"/>
        <w:rPr>
          <w:rFonts w:ascii="黑体" w:hAnsi="黑体" w:eastAsia="黑体" w:cs="Helvetica"/>
          <w:b/>
          <w:bCs/>
          <w:color w:val="000000" w:themeColor="text1"/>
          <w:kern w:val="0"/>
          <w:sz w:val="24"/>
          <w:szCs w:val="24"/>
          <w14:textFill>
            <w14:solidFill>
              <w14:schemeClr w14:val="tx1"/>
            </w14:solidFill>
          </w14:textFill>
        </w:rPr>
      </w:pPr>
      <w:r>
        <w:rPr>
          <w:rFonts w:hint="eastAsia" w:ascii="黑体" w:hAnsi="黑体" w:eastAsia="黑体" w:cs="Helvetica"/>
          <w:b/>
          <w:bCs/>
          <w:color w:val="000000" w:themeColor="text1"/>
          <w:kern w:val="0"/>
          <w:sz w:val="24"/>
          <w:szCs w:val="24"/>
          <w14:textFill>
            <w14:solidFill>
              <w14:schemeClr w14:val="tx1"/>
            </w14:solidFill>
          </w14:textFill>
        </w:rPr>
        <w:t>教育部</w:t>
      </w:r>
      <w:r>
        <w:fldChar w:fldCharType="begin"/>
      </w:r>
      <w:r>
        <w:instrText xml:space="preserve"> HYPERLINK "http://www.zikao365.com/web/sjyby/" </w:instrText>
      </w:r>
      <w:r>
        <w:fldChar w:fldCharType="separate"/>
      </w:r>
      <w:r>
        <w:rPr>
          <w:rFonts w:hint="eastAsia" w:ascii="黑体" w:hAnsi="黑体" w:eastAsia="黑体" w:cs="Helvetica"/>
          <w:b/>
          <w:bCs/>
          <w:color w:val="000000" w:themeColor="text1"/>
          <w:kern w:val="0"/>
          <w:sz w:val="24"/>
          <w:szCs w:val="24"/>
          <w14:textFill>
            <w14:solidFill>
              <w14:schemeClr w14:val="tx1"/>
            </w14:solidFill>
          </w14:textFill>
        </w:rPr>
        <w:t>学位</w:t>
      </w:r>
      <w:r>
        <w:rPr>
          <w:rFonts w:hint="eastAsia" w:ascii="黑体" w:hAnsi="黑体" w:eastAsia="黑体" w:cs="Helvetica"/>
          <w:b/>
          <w:bCs/>
          <w:color w:val="000000" w:themeColor="text1"/>
          <w:kern w:val="0"/>
          <w:sz w:val="24"/>
          <w:szCs w:val="24"/>
          <w14:textFill>
            <w14:solidFill>
              <w14:schemeClr w14:val="tx1"/>
            </w14:solidFill>
          </w14:textFill>
        </w:rPr>
        <w:fldChar w:fldCharType="end"/>
      </w:r>
      <w:r>
        <w:rPr>
          <w:rFonts w:hint="eastAsia" w:ascii="黑体" w:hAnsi="黑体" w:eastAsia="黑体" w:cs="Helvetica"/>
          <w:b/>
          <w:bCs/>
          <w:color w:val="000000" w:themeColor="text1"/>
          <w:kern w:val="0"/>
          <w:sz w:val="24"/>
          <w:szCs w:val="24"/>
          <w14:textFill>
            <w14:solidFill>
              <w14:schemeClr w14:val="tx1"/>
            </w14:solidFill>
          </w14:textFill>
        </w:rPr>
        <w:t>与研究生教育发展中心</w:t>
      </w:r>
      <w:r>
        <w:rPr>
          <w:rFonts w:ascii="Calibri" w:hAnsi="Calibri" w:eastAsia="黑体" w:cs="Calibri"/>
          <w:b/>
          <w:bCs/>
          <w:color w:val="000000" w:themeColor="text1"/>
          <w:kern w:val="0"/>
          <w:sz w:val="24"/>
          <w:szCs w:val="24"/>
          <w14:textFill>
            <w14:solidFill>
              <w14:schemeClr w14:val="tx1"/>
            </w14:solidFill>
          </w14:textFill>
        </w:rPr>
        <w:t> </w:t>
      </w:r>
      <w:r>
        <w:rPr>
          <w:rFonts w:hint="eastAsia" w:ascii="黑体" w:hAnsi="黑体" w:eastAsia="黑体" w:cs="Helvetica"/>
          <w:b/>
          <w:bCs/>
          <w:color w:val="000000" w:themeColor="text1"/>
          <w:kern w:val="0"/>
          <w:sz w:val="24"/>
          <w:szCs w:val="24"/>
          <w14:textFill>
            <w14:solidFill>
              <w14:schemeClr w14:val="tx1"/>
            </w14:solidFill>
          </w14:textFill>
        </w:rPr>
        <w:t>高等教育出版社</w:t>
      </w:r>
    </w:p>
    <w:p w14:paraId="5BA21D69">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b/>
          <w:bCs/>
          <w:color w:val="000000"/>
          <w:kern w:val="0"/>
          <w:szCs w:val="21"/>
        </w:rPr>
        <w:t>一、考试性质</w:t>
      </w:r>
    </w:p>
    <w:p w14:paraId="126BC5DA">
      <w:pPr>
        <w:widowControl/>
        <w:shd w:val="clear" w:color="auto" w:fill="FFFFFF"/>
        <w:spacing w:after="150"/>
        <w:ind w:firstLine="480"/>
        <w:jc w:val="left"/>
        <w:rPr>
          <w:rFonts w:ascii="宋体" w:hAnsi="宋体" w:eastAsia="宋体" w:cs="Helvetica"/>
          <w:color w:val="000000"/>
          <w:kern w:val="0"/>
          <w:szCs w:val="21"/>
        </w:rPr>
      </w:pPr>
      <w:r>
        <w:rPr>
          <w:rFonts w:hint="eastAsia" w:ascii="宋体" w:hAnsi="宋体" w:eastAsia="宋体" w:cs="Helvetica"/>
          <w:color w:val="000000"/>
          <w:kern w:val="0"/>
          <w:szCs w:val="21"/>
        </w:rPr>
        <w:t>成人高等教育非英语专业学士学位英语水平考试是由各省级高等教育主管部门组织的统一考试，其目的是为了客观地测试非英语专业成人本科</w:t>
      </w:r>
      <w:r>
        <w:fldChar w:fldCharType="begin"/>
      </w:r>
      <w:r>
        <w:instrText xml:space="preserve"> HYPERLINK "http://www.zikao365.com/web/sjyby/" </w:instrText>
      </w:r>
      <w:r>
        <w:fldChar w:fldCharType="separate"/>
      </w:r>
      <w:r>
        <w:rPr>
          <w:rFonts w:hint="eastAsia" w:ascii="宋体" w:hAnsi="宋体" w:eastAsia="宋体" w:cs="Helvetica"/>
          <w:color w:val="000000"/>
          <w:kern w:val="0"/>
          <w:szCs w:val="21"/>
        </w:rPr>
        <w:t>毕业生</w:t>
      </w:r>
      <w:r>
        <w:rPr>
          <w:rFonts w:hint="eastAsia" w:ascii="宋体" w:hAnsi="宋体" w:eastAsia="宋体" w:cs="Helvetica"/>
          <w:color w:val="000000"/>
          <w:kern w:val="0"/>
          <w:szCs w:val="21"/>
        </w:rPr>
        <w:fldChar w:fldCharType="end"/>
      </w:r>
      <w:r>
        <w:rPr>
          <w:rFonts w:hint="eastAsia" w:ascii="宋体" w:hAnsi="宋体" w:eastAsia="宋体" w:cs="Helvetica"/>
          <w:color w:val="000000"/>
          <w:kern w:val="0"/>
          <w:szCs w:val="21"/>
        </w:rPr>
        <w:t>申请学士学位者的英语语言知识和运用能力，考査其是否达到普通本科教育非英语专业英语教学的一般要求。</w:t>
      </w:r>
    </w:p>
    <w:p w14:paraId="1CAFC5F8">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b/>
          <w:bCs/>
          <w:color w:val="000000"/>
          <w:kern w:val="0"/>
          <w:szCs w:val="21"/>
        </w:rPr>
        <w:t>二、考试要求</w:t>
      </w:r>
    </w:p>
    <w:p w14:paraId="053951AC">
      <w:pPr>
        <w:widowControl/>
        <w:shd w:val="clear" w:color="auto" w:fill="FFFFFF"/>
        <w:spacing w:after="150"/>
        <w:ind w:firstLine="482"/>
        <w:jc w:val="left"/>
        <w:rPr>
          <w:rFonts w:ascii="宋体" w:hAnsi="宋体" w:eastAsia="宋体" w:cs="Helvetica"/>
          <w:color w:val="000000"/>
          <w:kern w:val="0"/>
          <w:szCs w:val="21"/>
        </w:rPr>
      </w:pPr>
      <w:r>
        <w:rPr>
          <w:rFonts w:hint="eastAsia" w:ascii="宋体" w:hAnsi="宋体" w:eastAsia="宋体" w:cs="Helvetica"/>
          <w:color w:val="000000"/>
          <w:kern w:val="0"/>
          <w:szCs w:val="21"/>
        </w:rPr>
        <w:t>成人高等教育非英语专业学士学位英语水平考试要求考生能够较熟练地掌握英语基本语法和常用词汇，具有较强的阅读能力和综合运用能力。考生在运用能力方面应分别达到以下要求：</w:t>
      </w:r>
    </w:p>
    <w:p w14:paraId="751A8382">
      <w:pPr>
        <w:widowControl/>
        <w:shd w:val="clear" w:color="auto" w:fill="FFFFFF"/>
        <w:spacing w:after="150"/>
        <w:ind w:firstLine="482"/>
        <w:jc w:val="left"/>
        <w:rPr>
          <w:rFonts w:ascii="宋体" w:hAnsi="宋体" w:eastAsia="宋体" w:cs="Helvetica"/>
          <w:color w:val="000000"/>
          <w:kern w:val="0"/>
          <w:szCs w:val="21"/>
        </w:rPr>
      </w:pPr>
      <w:r>
        <w:rPr>
          <w:rFonts w:hint="eastAsia" w:ascii="宋体" w:hAnsi="宋体" w:eastAsia="宋体" w:cs="Helvetica"/>
          <w:color w:val="000000"/>
          <w:kern w:val="0"/>
          <w:szCs w:val="21"/>
        </w:rPr>
        <w:t>（一）会话</w:t>
      </w:r>
    </w:p>
    <w:p w14:paraId="61322E5E">
      <w:pPr>
        <w:widowControl/>
        <w:shd w:val="clear" w:color="auto" w:fill="FFFFFF"/>
        <w:spacing w:after="150"/>
        <w:ind w:firstLine="482"/>
        <w:jc w:val="left"/>
        <w:rPr>
          <w:rFonts w:ascii="宋体" w:hAnsi="宋体" w:eastAsia="宋体" w:cs="Helvetica"/>
          <w:color w:val="000000"/>
          <w:kern w:val="0"/>
          <w:szCs w:val="21"/>
        </w:rPr>
      </w:pPr>
      <w:r>
        <w:rPr>
          <w:rFonts w:hint="eastAsia" w:ascii="宋体" w:hAnsi="宋体" w:eastAsia="宋体" w:cs="Helvetica"/>
          <w:color w:val="000000"/>
          <w:kern w:val="0"/>
          <w:szCs w:val="21"/>
        </w:rPr>
        <w:t>能够使用英语进行日常会话交流，根据对话的情景、场合、人物关系、身份和讲话人的意图及话语含义做出正确判断和用语选择，并能理解常见的英语口语的习惯用法。</w:t>
      </w:r>
    </w:p>
    <w:p w14:paraId="42A54DF7">
      <w:pPr>
        <w:widowControl/>
        <w:shd w:val="clear" w:color="auto" w:fill="FFFFFF"/>
        <w:spacing w:after="150"/>
        <w:ind w:firstLine="482"/>
        <w:jc w:val="left"/>
        <w:rPr>
          <w:rFonts w:ascii="宋体" w:hAnsi="宋体" w:eastAsia="宋体" w:cs="Helvetica"/>
          <w:color w:val="000000"/>
          <w:kern w:val="0"/>
          <w:szCs w:val="21"/>
        </w:rPr>
      </w:pPr>
      <w:r>
        <w:rPr>
          <w:rFonts w:hint="eastAsia" w:ascii="宋体" w:hAnsi="宋体" w:eastAsia="宋体" w:cs="Helvetica"/>
          <w:color w:val="000000"/>
          <w:kern w:val="0"/>
          <w:szCs w:val="21"/>
        </w:rPr>
        <w:t>（二）阅读</w:t>
      </w:r>
    </w:p>
    <w:p w14:paraId="05BE8923">
      <w:pPr>
        <w:widowControl/>
        <w:shd w:val="clear" w:color="auto" w:fill="FFFFFF"/>
        <w:spacing w:after="150"/>
        <w:ind w:firstLine="482"/>
        <w:jc w:val="left"/>
        <w:rPr>
          <w:rFonts w:ascii="宋体" w:hAnsi="宋体" w:eastAsia="宋体" w:cs="Helvetica"/>
          <w:color w:val="000000"/>
          <w:kern w:val="0"/>
          <w:szCs w:val="21"/>
        </w:rPr>
      </w:pPr>
      <w:r>
        <w:rPr>
          <w:rFonts w:hint="eastAsia" w:ascii="宋体" w:hAnsi="宋体" w:eastAsia="宋体" w:cs="Helvetica"/>
          <w:color w:val="000000"/>
          <w:kern w:val="0"/>
          <w:szCs w:val="21"/>
        </w:rPr>
        <w:t>能够综合运用英语知识和基本阅读技能，读懂难度适中的一般性题材（经济、社会、政法、历史、科普、管理等）和体裁（记叙文、议论文、说 明文、应用文等）的英语文章。阅读速度达到每分钟80个词。具体要求为：</w:t>
      </w:r>
    </w:p>
    <w:p w14:paraId="443172D6">
      <w:pPr>
        <w:widowControl/>
        <w:shd w:val="clear" w:color="auto" w:fill="FFFFFF"/>
        <w:spacing w:after="150"/>
        <w:ind w:firstLine="482"/>
        <w:jc w:val="left"/>
        <w:rPr>
          <w:rFonts w:ascii="宋体" w:hAnsi="宋体" w:eastAsia="宋体" w:cs="Helvetica"/>
          <w:color w:val="000000"/>
          <w:kern w:val="0"/>
          <w:szCs w:val="21"/>
        </w:rPr>
      </w:pPr>
      <w:r>
        <w:rPr>
          <w:rFonts w:hint="eastAsia" w:ascii="宋体" w:hAnsi="宋体" w:eastAsia="宋体" w:cs="Helvetica"/>
          <w:color w:val="000000"/>
          <w:kern w:val="0"/>
          <w:szCs w:val="21"/>
        </w:rPr>
        <w:t>1.能够掌握文章的中心思想、主要内容和细节；</w:t>
      </w:r>
    </w:p>
    <w:p w14:paraId="39FACA3C">
      <w:pPr>
        <w:widowControl/>
        <w:shd w:val="clear" w:color="auto" w:fill="FFFFFF"/>
        <w:spacing w:after="150"/>
        <w:ind w:firstLine="482"/>
        <w:jc w:val="left"/>
        <w:rPr>
          <w:rFonts w:ascii="宋体" w:hAnsi="宋体" w:eastAsia="宋体" w:cs="Helvetica"/>
          <w:color w:val="000000"/>
          <w:kern w:val="0"/>
          <w:szCs w:val="21"/>
        </w:rPr>
      </w:pPr>
      <w:r>
        <w:rPr>
          <w:rFonts w:hint="eastAsia" w:ascii="宋体" w:hAnsi="宋体" w:eastAsia="宋体" w:cs="Helvetica"/>
          <w:color w:val="000000"/>
          <w:kern w:val="0"/>
          <w:szCs w:val="21"/>
        </w:rPr>
        <w:t>2.具备根据上下文把握词义的能力，理解上下文的逻辑关系；</w:t>
      </w:r>
    </w:p>
    <w:p w14:paraId="291CA794">
      <w:pPr>
        <w:widowControl/>
        <w:shd w:val="clear" w:color="auto" w:fill="FFFFFF"/>
        <w:spacing w:after="150"/>
        <w:ind w:firstLine="482"/>
        <w:jc w:val="left"/>
        <w:rPr>
          <w:rFonts w:ascii="宋体" w:hAnsi="宋体" w:eastAsia="宋体" w:cs="Helvetica"/>
          <w:color w:val="000000"/>
          <w:kern w:val="0"/>
          <w:szCs w:val="21"/>
        </w:rPr>
      </w:pPr>
      <w:r>
        <w:rPr>
          <w:rFonts w:hint="eastAsia" w:ascii="宋体" w:hAnsi="宋体" w:eastAsia="宋体" w:cs="Helvetica"/>
          <w:color w:val="000000"/>
          <w:kern w:val="0"/>
          <w:szCs w:val="21"/>
        </w:rPr>
        <w:t>3.能够根据所读材料进行一定的推论；</w:t>
      </w:r>
    </w:p>
    <w:p w14:paraId="61808895">
      <w:pPr>
        <w:widowControl/>
        <w:shd w:val="clear" w:color="auto" w:fill="FFFFFF"/>
        <w:spacing w:after="150"/>
        <w:ind w:firstLine="482"/>
        <w:jc w:val="left"/>
        <w:rPr>
          <w:rFonts w:ascii="宋体" w:hAnsi="宋体" w:eastAsia="宋体" w:cs="Helvetica"/>
          <w:color w:val="000000"/>
          <w:kern w:val="0"/>
          <w:szCs w:val="21"/>
        </w:rPr>
      </w:pPr>
      <w:r>
        <w:rPr>
          <w:rFonts w:hint="eastAsia" w:ascii="宋体" w:hAnsi="宋体" w:eastAsia="宋体" w:cs="Helvetica"/>
          <w:color w:val="000000"/>
          <w:kern w:val="0"/>
          <w:szCs w:val="21"/>
        </w:rPr>
        <w:t>4.能够对文章的结构和作者的态度等做出一般的分析和判断。</w:t>
      </w:r>
    </w:p>
    <w:p w14:paraId="7B5A2E3F">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（三）词汇</w:t>
      </w:r>
    </w:p>
    <w:p w14:paraId="3B6DACC2">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掌握本考试大纲所规定的英语词汇、常用词组、常用词缀，并在阅读、写作等过程中具有相应的应用能力，即：</w:t>
      </w:r>
    </w:p>
    <w:p w14:paraId="5EDF43DB">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1.领会式掌握4400个单词和550个常用词组；</w:t>
      </w:r>
    </w:p>
    <w:p w14:paraId="256D1A32">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2.复用式掌握2000个左右的常用单词和搭配以及200个左右的 常用词组；</w:t>
      </w:r>
    </w:p>
    <w:p w14:paraId="2B319638">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3.掌握一定数量的常用词缀，并能根据构词法和语境识别常见的 派生词。</w:t>
      </w:r>
    </w:p>
    <w:p w14:paraId="251BEBCB">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（四）语法</w:t>
      </w:r>
    </w:p>
    <w:p w14:paraId="4FB16595">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掌握基本的英语语法知识，要求能在阅读、写作等过程中正确运用这些知识，达到正确理解、获取信息及表达思想的目的。需要掌握的具体内容如下：</w:t>
      </w:r>
    </w:p>
    <w:p w14:paraId="0A234780">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1.名词、代词的数和格的构成及其用法；</w:t>
      </w:r>
    </w:p>
    <w:p w14:paraId="7BE47418">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2.动词的基本时态、语态的构成及其用法；</w:t>
      </w:r>
    </w:p>
    <w:p w14:paraId="57892D66">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3.形容词、副词的比较级和最高级的构成及其用法；</w:t>
      </w:r>
    </w:p>
    <w:p w14:paraId="057B8CF6">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4.常用连接词、冠词的词义及其用法；</w:t>
      </w:r>
    </w:p>
    <w:p w14:paraId="79F719C9">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5.非谓语动词（不定式、动名词、分词）的构成及其用法；</w:t>
      </w:r>
    </w:p>
    <w:p w14:paraId="20B8CFE6">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6.虚拟语气的构成及其用法；</w:t>
      </w:r>
    </w:p>
    <w:p w14:paraId="60C2013B">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7.各类从句的构成及其用法；</w:t>
      </w:r>
    </w:p>
    <w:p w14:paraId="34C3236E">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8.基本句型的结构及其用法；</w:t>
      </w:r>
    </w:p>
    <w:p w14:paraId="1C4BE02E">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9.强调句型的结构及其用法；</w:t>
      </w:r>
    </w:p>
    <w:p w14:paraId="60B560FD">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10.常用倒装句的结构及其用法。</w:t>
      </w:r>
    </w:p>
    <w:p w14:paraId="520DDFB6">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（五）翻译</w:t>
      </w:r>
    </w:p>
    <w:p w14:paraId="4A3AE7A4">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能够在不借助词典的情况下把一般难度、非专业性题材的英文句子或短文译成汉语，译文通顺，用词基本正确，无重大语法错误。英译汉的速度应达到每小时250词以上。</w:t>
      </w:r>
    </w:p>
    <w:p w14:paraId="229757BC">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（六）写作</w:t>
      </w:r>
    </w:p>
    <w:p w14:paraId="22395362">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能够用英语撰写常见应用文，或能够按照所给提纲、情景或图表，说明或论述一般性的话题。所写短文要求主题明确，条理清楚，语言比较规范。</w:t>
      </w:r>
    </w:p>
    <w:p w14:paraId="08236B3D">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b/>
          <w:bCs/>
          <w:color w:val="000000"/>
          <w:kern w:val="0"/>
          <w:szCs w:val="21"/>
        </w:rPr>
        <w:t>三、试卷结构</w:t>
      </w:r>
    </w:p>
    <w:p w14:paraId="2FDF193D">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考试试卷分试卷一和试卷二。试卷一为客观题，包括完成对话、阅读理解及词汇和语法3个部分，考试时间为65分钟，满分为70分；试卷二为英译汉和短文写作，考试时间为55分钟，满分为30分。试卷一和试卷二考试时间共计120分钟，总分为100分。试卷各部分内容 和结构如下：</w:t>
      </w:r>
    </w:p>
    <w:p w14:paraId="011A1706">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第一部分</w:t>
      </w:r>
      <w:r>
        <w:rPr>
          <w:rFonts w:ascii="宋体" w:hAnsi="宋体" w:eastAsia="宋体" w:cs="Helvetica"/>
          <w:color w:val="000000"/>
          <w:kern w:val="0"/>
          <w:szCs w:val="21"/>
        </w:rPr>
        <w:t xml:space="preserve"> </w:t>
      </w:r>
      <w:r>
        <w:rPr>
          <w:rFonts w:hint="eastAsia" w:ascii="宋体" w:hAnsi="宋体" w:eastAsia="宋体" w:cs="Helvetica"/>
          <w:color w:val="000000"/>
          <w:kern w:val="0"/>
          <w:szCs w:val="21"/>
        </w:rPr>
        <w:t>完成对话</w:t>
      </w:r>
    </w:p>
    <w:p w14:paraId="70FC322D">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本部分共有3段不完整的对话，设10道题。第一段对话设4个空格，下面有用来完成对话的4个选择项，要求考生根据对话内容将全部 4个选择项分别填人对话中的空格，使之完整。第二段和第三段对话 分别设3个空格，下面有用来完成对话的4个选择项，要求考生选择其 中的3个分别填人对话中的空格，使之完整。</w:t>
      </w:r>
    </w:p>
    <w:p w14:paraId="5FB2E68C">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本部分满分为10分，每题1分。考试时间为10分钟。</w:t>
      </w:r>
    </w:p>
    <w:p w14:paraId="197CEA40">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第二部分</w:t>
      </w:r>
      <w:r>
        <w:rPr>
          <w:rFonts w:ascii="宋体" w:hAnsi="宋体" w:eastAsia="宋体" w:cs="Helvetica"/>
          <w:color w:val="000000"/>
          <w:kern w:val="0"/>
          <w:szCs w:val="21"/>
        </w:rPr>
        <w:t xml:space="preserve"> </w:t>
      </w:r>
      <w:r>
        <w:rPr>
          <w:rFonts w:hint="eastAsia" w:ascii="宋体" w:hAnsi="宋体" w:eastAsia="宋体" w:cs="Helvetica"/>
          <w:color w:val="000000"/>
          <w:kern w:val="0"/>
          <w:szCs w:val="21"/>
        </w:rPr>
        <w:t>阅读理解</w:t>
      </w:r>
    </w:p>
    <w:p w14:paraId="68FCF6BB">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本部分共有4篇短文，总长度为1 200词左右。每篇文章后设5道题，共20题。考生需在理解文章的基础上从为每个问题提供的4个选择项中选出一个最佳答案。</w:t>
      </w:r>
    </w:p>
    <w:p w14:paraId="75F45DDA">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本部分满分为40分，每题2分。考试时间为35分钟。</w:t>
      </w:r>
    </w:p>
    <w:p w14:paraId="1CDC3F5C">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第三部分词汇和语法</w:t>
      </w:r>
    </w:p>
    <w:p w14:paraId="6D10DC9D">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本部分共设20题，其中10题为词汇题，10题为语法题。每一题中有一个空白，要求考生在理解句意的基础上在4个选择项中选择一个最佳答案。</w:t>
      </w:r>
    </w:p>
    <w:p w14:paraId="7770320B">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本部分满分为20分，每题1分。考试时间为20分钟。</w:t>
      </w:r>
    </w:p>
    <w:p w14:paraId="347676B2">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第四部分 英译汉</w:t>
      </w:r>
    </w:p>
    <w:p w14:paraId="78D24DD8">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本部分可以是一篇长度为120个左右英文单词的短文，要求考生翻译全文；也可以是一个较长的段落，要求考生翻译其中带有下划线的5个句子。要求译</w:t>
      </w:r>
      <w:bookmarkStart w:id="0" w:name="_GoBack"/>
      <w:bookmarkEnd w:id="0"/>
      <w:r>
        <w:rPr>
          <w:rFonts w:hint="eastAsia" w:ascii="宋体" w:hAnsi="宋体" w:eastAsia="宋体" w:cs="Helvetica"/>
          <w:color w:val="000000"/>
          <w:kern w:val="0"/>
          <w:szCs w:val="21"/>
        </w:rPr>
        <w:t>文意思准确，文字通顺。</w:t>
      </w:r>
    </w:p>
    <w:p w14:paraId="6A1769DB">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本部分满分为15分，考试时间为25分钟。</w:t>
      </w:r>
    </w:p>
    <w:p w14:paraId="31D70604">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第五部分 短文写作</w:t>
      </w:r>
    </w:p>
    <w:p w14:paraId="21B4F94F">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本部分可要求考生写一篇常见的应用文，也可用提纲、情景或图表做提示，要求考生说明或论述一个一般性话题，文章长度不低于100个英文单词。</w:t>
      </w:r>
    </w:p>
    <w:p w14:paraId="06B8B7A8">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本部分满分为15分，考试时间为30分钟。</w:t>
      </w:r>
    </w:p>
    <w:p w14:paraId="24319F55">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b/>
          <w:bCs/>
          <w:color w:val="000000"/>
          <w:kern w:val="0"/>
          <w:szCs w:val="21"/>
        </w:rPr>
        <w:t>四、试卷题型、题量、记分及答题时间</w:t>
      </w:r>
    </w:p>
    <w:p w14:paraId="4B5875A3">
      <w:pPr>
        <w:widowControl/>
        <w:shd w:val="clear" w:color="auto" w:fill="FFFFFF"/>
        <w:spacing w:after="150"/>
        <w:ind w:firstLine="480"/>
        <w:jc w:val="left"/>
        <w:rPr>
          <w:rFonts w:ascii="宋体" w:hAnsi="宋体" w:eastAsia="宋体" w:cs="Helvetica"/>
          <w:color w:val="333333"/>
          <w:kern w:val="0"/>
          <w:szCs w:val="21"/>
        </w:rPr>
      </w:pPr>
      <w:r>
        <w:rPr>
          <w:rFonts w:hint="eastAsia" w:ascii="宋体" w:hAnsi="宋体" w:eastAsia="宋体" w:cs="Helvetica"/>
          <w:color w:val="000000"/>
          <w:kern w:val="0"/>
          <w:szCs w:val="21"/>
        </w:rPr>
        <w:t>成人高等教育非英语专业学士学位英语水平考试的题型、题量、记分及答题时间如下：</w:t>
      </w:r>
    </w:p>
    <w:tbl>
      <w:tblPr>
        <w:tblStyle w:val="5"/>
        <w:tblW w:w="648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1152"/>
        <w:gridCol w:w="1151"/>
        <w:gridCol w:w="1150"/>
        <w:gridCol w:w="1191"/>
        <w:gridCol w:w="1836"/>
      </w:tblGrid>
      <w:tr w14:paraId="53F47E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740" w:type="dxa"/>
            <w:tcBorders>
              <w:top w:val="inset" w:color="auto" w:sz="8" w:space="0"/>
              <w:left w:val="inset" w:color="auto" w:sz="8" w:space="0"/>
              <w:bottom w:val="inset" w:color="auto" w:sz="8" w:space="0"/>
              <w:right w:val="inset" w:color="auto" w:sz="8" w:space="0"/>
            </w:tcBorders>
            <w:shd w:val="clear" w:color="auto" w:fill="auto"/>
            <w:tcMar>
              <w:top w:w="0" w:type="dxa"/>
              <w:left w:w="0" w:type="dxa"/>
              <w:bottom w:w="0" w:type="dxa"/>
              <w:right w:w="0" w:type="dxa"/>
            </w:tcMar>
            <w:vAlign w:val="center"/>
          </w:tcPr>
          <w:p w14:paraId="440C387D">
            <w:pPr>
              <w:widowControl/>
              <w:spacing w:after="150"/>
              <w:jc w:val="center"/>
              <w:rPr>
                <w:rFonts w:ascii="宋体" w:hAnsi="宋体" w:eastAsia="宋体" w:cs="宋体"/>
                <w:kern w:val="0"/>
                <w:szCs w:val="21"/>
              </w:rPr>
            </w:pPr>
            <w:r>
              <w:rPr>
                <w:rFonts w:hint="eastAsia" w:ascii="宋体" w:hAnsi="宋体" w:eastAsia="宋体" w:cs="宋体"/>
                <w:b/>
                <w:bCs/>
                <w:kern w:val="0"/>
                <w:szCs w:val="21"/>
              </w:rPr>
              <w:t>序号</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549CEE9">
            <w:pPr>
              <w:widowControl/>
              <w:spacing w:after="150"/>
              <w:jc w:val="center"/>
              <w:rPr>
                <w:rFonts w:ascii="宋体" w:hAnsi="宋体" w:eastAsia="宋体" w:cs="宋体"/>
                <w:kern w:val="0"/>
                <w:szCs w:val="21"/>
              </w:rPr>
            </w:pPr>
            <w:r>
              <w:rPr>
                <w:rFonts w:hint="eastAsia" w:ascii="宋体" w:hAnsi="宋体" w:eastAsia="宋体" w:cs="宋体"/>
                <w:b/>
                <w:bCs/>
                <w:kern w:val="0"/>
                <w:szCs w:val="21"/>
              </w:rPr>
              <w:t>题型</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8F5ADA1">
            <w:pPr>
              <w:widowControl/>
              <w:spacing w:after="150"/>
              <w:jc w:val="center"/>
              <w:rPr>
                <w:rFonts w:ascii="宋体" w:hAnsi="宋体" w:eastAsia="宋体" w:cs="宋体"/>
                <w:kern w:val="0"/>
                <w:szCs w:val="21"/>
              </w:rPr>
            </w:pPr>
            <w:r>
              <w:rPr>
                <w:rFonts w:hint="eastAsia" w:ascii="宋体" w:hAnsi="宋体" w:eastAsia="宋体" w:cs="宋体"/>
                <w:b/>
                <w:bCs/>
                <w:kern w:val="0"/>
                <w:szCs w:val="21"/>
              </w:rPr>
              <w:t>题量</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4199DDA">
            <w:pPr>
              <w:widowControl/>
              <w:spacing w:after="150"/>
              <w:jc w:val="center"/>
              <w:rPr>
                <w:rFonts w:ascii="宋体" w:hAnsi="宋体" w:eastAsia="宋体" w:cs="宋体"/>
                <w:kern w:val="0"/>
                <w:szCs w:val="21"/>
              </w:rPr>
            </w:pPr>
            <w:r>
              <w:rPr>
                <w:rFonts w:hint="eastAsia" w:ascii="宋体" w:hAnsi="宋体" w:eastAsia="宋体" w:cs="宋体"/>
                <w:b/>
                <w:bCs/>
                <w:kern w:val="0"/>
                <w:szCs w:val="21"/>
              </w:rPr>
              <w:t>记分</w:t>
            </w:r>
          </w:p>
        </w:tc>
        <w:tc>
          <w:tcPr>
            <w:tcW w:w="273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8923017">
            <w:pPr>
              <w:widowControl/>
              <w:spacing w:after="150"/>
              <w:jc w:val="center"/>
              <w:rPr>
                <w:rFonts w:ascii="宋体" w:hAnsi="宋体" w:eastAsia="宋体" w:cs="宋体"/>
                <w:kern w:val="0"/>
                <w:szCs w:val="21"/>
              </w:rPr>
            </w:pPr>
            <w:r>
              <w:rPr>
                <w:rFonts w:hint="eastAsia" w:ascii="宋体" w:hAnsi="宋体" w:eastAsia="宋体" w:cs="宋体"/>
                <w:b/>
                <w:bCs/>
                <w:kern w:val="0"/>
                <w:szCs w:val="21"/>
              </w:rPr>
              <w:t>答题时间（分钟）</w:t>
            </w:r>
          </w:p>
        </w:tc>
      </w:tr>
      <w:tr w14:paraId="75282E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783743D">
            <w:pPr>
              <w:widowControl/>
              <w:spacing w:after="150"/>
              <w:jc w:val="center"/>
              <w:rPr>
                <w:rFonts w:ascii="宋体" w:hAnsi="宋体" w:eastAsia="宋体" w:cs="宋体"/>
                <w:kern w:val="0"/>
                <w:szCs w:val="21"/>
              </w:rPr>
            </w:pPr>
            <w:r>
              <w:rPr>
                <w:rFonts w:hint="eastAsia" w:ascii="宋体" w:hAnsi="宋体" w:eastAsia="宋体" w:cs="宋体"/>
                <w:kern w:val="0"/>
                <w:szCs w:val="21"/>
              </w:rPr>
              <w:t>Ⅰ</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B8E76E9">
            <w:pPr>
              <w:widowControl/>
              <w:spacing w:after="150"/>
              <w:jc w:val="center"/>
              <w:rPr>
                <w:rFonts w:ascii="宋体" w:hAnsi="宋体" w:eastAsia="宋体" w:cs="宋体"/>
                <w:kern w:val="0"/>
                <w:szCs w:val="21"/>
              </w:rPr>
            </w:pPr>
            <w:r>
              <w:rPr>
                <w:rFonts w:hint="eastAsia" w:ascii="宋体" w:hAnsi="宋体" w:eastAsia="宋体" w:cs="宋体"/>
                <w:kern w:val="0"/>
                <w:szCs w:val="21"/>
              </w:rPr>
              <w:t>完成对话</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5BED120">
            <w:pPr>
              <w:widowControl/>
              <w:spacing w:after="150"/>
              <w:jc w:val="center"/>
              <w:rPr>
                <w:rFonts w:ascii="宋体" w:hAnsi="宋体" w:eastAsia="宋体" w:cs="宋体"/>
                <w:kern w:val="0"/>
                <w:szCs w:val="21"/>
              </w:rPr>
            </w:pPr>
            <w:r>
              <w:rPr>
                <w:rFonts w:hint="eastAsia" w:ascii="宋体" w:hAnsi="宋体" w:eastAsia="宋体" w:cs="宋体"/>
                <w:kern w:val="0"/>
                <w:szCs w:val="21"/>
              </w:rPr>
              <w:t>10</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5B6B71A">
            <w:pPr>
              <w:widowControl/>
              <w:spacing w:after="150"/>
              <w:jc w:val="center"/>
              <w:rPr>
                <w:rFonts w:ascii="宋体" w:hAnsi="宋体" w:eastAsia="宋体" w:cs="宋体"/>
                <w:kern w:val="0"/>
                <w:szCs w:val="21"/>
              </w:rPr>
            </w:pPr>
            <w:r>
              <w:rPr>
                <w:rFonts w:hint="eastAsia" w:ascii="宋体" w:hAnsi="宋体" w:eastAsia="宋体" w:cs="宋体"/>
                <w:kern w:val="0"/>
                <w:szCs w:val="21"/>
              </w:rPr>
              <w:t>10</w:t>
            </w:r>
          </w:p>
        </w:tc>
        <w:tc>
          <w:tcPr>
            <w:tcW w:w="273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F1B4802">
            <w:pPr>
              <w:widowControl/>
              <w:spacing w:after="150"/>
              <w:jc w:val="center"/>
              <w:rPr>
                <w:rFonts w:ascii="宋体" w:hAnsi="宋体" w:eastAsia="宋体" w:cs="宋体"/>
                <w:kern w:val="0"/>
                <w:szCs w:val="21"/>
              </w:rPr>
            </w:pPr>
            <w:r>
              <w:rPr>
                <w:rFonts w:hint="eastAsia" w:ascii="宋体" w:hAnsi="宋体" w:eastAsia="宋体" w:cs="宋体"/>
                <w:kern w:val="0"/>
                <w:szCs w:val="21"/>
              </w:rPr>
              <w:t>10</w:t>
            </w:r>
          </w:p>
        </w:tc>
      </w:tr>
      <w:tr w14:paraId="3DB54E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39E42EB">
            <w:pPr>
              <w:widowControl/>
              <w:spacing w:after="150"/>
              <w:jc w:val="center"/>
              <w:rPr>
                <w:rFonts w:ascii="宋体" w:hAnsi="宋体" w:eastAsia="宋体" w:cs="宋体"/>
                <w:kern w:val="0"/>
                <w:szCs w:val="21"/>
              </w:rPr>
            </w:pPr>
            <w:r>
              <w:rPr>
                <w:rFonts w:hint="eastAsia" w:ascii="宋体" w:hAnsi="宋体" w:eastAsia="宋体" w:cs="宋体"/>
                <w:kern w:val="0"/>
                <w:szCs w:val="21"/>
              </w:rPr>
              <w:t>Ⅱ</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5A242C5">
            <w:pPr>
              <w:widowControl/>
              <w:spacing w:after="150"/>
              <w:jc w:val="center"/>
              <w:rPr>
                <w:rFonts w:ascii="宋体" w:hAnsi="宋体" w:eastAsia="宋体" w:cs="宋体"/>
                <w:kern w:val="0"/>
                <w:szCs w:val="21"/>
              </w:rPr>
            </w:pPr>
            <w:r>
              <w:rPr>
                <w:rFonts w:hint="eastAsia" w:ascii="宋体" w:hAnsi="宋体" w:eastAsia="宋体" w:cs="宋体"/>
                <w:kern w:val="0"/>
                <w:szCs w:val="21"/>
              </w:rPr>
              <w:t>阅读理解</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6208D976">
            <w:pPr>
              <w:widowControl/>
              <w:spacing w:after="150"/>
              <w:jc w:val="center"/>
              <w:rPr>
                <w:rFonts w:ascii="宋体" w:hAnsi="宋体" w:eastAsia="宋体" w:cs="宋体"/>
                <w:kern w:val="0"/>
                <w:szCs w:val="21"/>
              </w:rPr>
            </w:pPr>
            <w:r>
              <w:rPr>
                <w:rFonts w:hint="eastAsia" w:ascii="宋体" w:hAnsi="宋体" w:eastAsia="宋体" w:cs="宋体"/>
                <w:kern w:val="0"/>
                <w:szCs w:val="21"/>
              </w:rPr>
              <w:t>20</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9566E2B">
            <w:pPr>
              <w:widowControl/>
              <w:spacing w:after="150"/>
              <w:jc w:val="center"/>
              <w:rPr>
                <w:rFonts w:ascii="宋体" w:hAnsi="宋体" w:eastAsia="宋体" w:cs="宋体"/>
                <w:kern w:val="0"/>
                <w:szCs w:val="21"/>
              </w:rPr>
            </w:pPr>
            <w:r>
              <w:rPr>
                <w:rFonts w:hint="eastAsia" w:ascii="宋体" w:hAnsi="宋体" w:eastAsia="宋体" w:cs="宋体"/>
                <w:kern w:val="0"/>
                <w:szCs w:val="21"/>
              </w:rPr>
              <w:t>40</w:t>
            </w:r>
          </w:p>
        </w:tc>
        <w:tc>
          <w:tcPr>
            <w:tcW w:w="273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0ACD3FE">
            <w:pPr>
              <w:widowControl/>
              <w:spacing w:after="150"/>
              <w:jc w:val="center"/>
              <w:rPr>
                <w:rFonts w:ascii="宋体" w:hAnsi="宋体" w:eastAsia="宋体" w:cs="宋体"/>
                <w:kern w:val="0"/>
                <w:szCs w:val="21"/>
              </w:rPr>
            </w:pPr>
            <w:r>
              <w:rPr>
                <w:rFonts w:hint="eastAsia" w:ascii="宋体" w:hAnsi="宋体" w:eastAsia="宋体" w:cs="宋体"/>
                <w:kern w:val="0"/>
                <w:szCs w:val="21"/>
              </w:rPr>
              <w:t>35</w:t>
            </w:r>
          </w:p>
        </w:tc>
      </w:tr>
      <w:tr w14:paraId="392231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F25C5E1">
            <w:pPr>
              <w:widowControl/>
              <w:spacing w:after="150"/>
              <w:jc w:val="center"/>
              <w:rPr>
                <w:rFonts w:ascii="宋体" w:hAnsi="宋体" w:eastAsia="宋体" w:cs="宋体"/>
                <w:kern w:val="0"/>
                <w:szCs w:val="21"/>
              </w:rPr>
            </w:pPr>
            <w:r>
              <w:rPr>
                <w:rFonts w:hint="eastAsia" w:ascii="宋体" w:hAnsi="宋体" w:eastAsia="宋体" w:cs="宋体"/>
                <w:kern w:val="0"/>
                <w:szCs w:val="21"/>
              </w:rPr>
              <w:t>Ⅲ</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62FC401">
            <w:pPr>
              <w:widowControl/>
              <w:spacing w:after="150"/>
              <w:jc w:val="center"/>
              <w:rPr>
                <w:rFonts w:ascii="宋体" w:hAnsi="宋体" w:eastAsia="宋体" w:cs="宋体"/>
                <w:kern w:val="0"/>
                <w:szCs w:val="21"/>
              </w:rPr>
            </w:pPr>
            <w:r>
              <w:rPr>
                <w:rFonts w:hint="eastAsia" w:ascii="宋体" w:hAnsi="宋体" w:eastAsia="宋体" w:cs="宋体"/>
                <w:kern w:val="0"/>
                <w:szCs w:val="21"/>
              </w:rPr>
              <w:t>词汇和语法</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7C36E76">
            <w:pPr>
              <w:widowControl/>
              <w:spacing w:after="150"/>
              <w:jc w:val="center"/>
              <w:rPr>
                <w:rFonts w:ascii="宋体" w:hAnsi="宋体" w:eastAsia="宋体" w:cs="宋体"/>
                <w:kern w:val="0"/>
                <w:szCs w:val="21"/>
              </w:rPr>
            </w:pPr>
            <w:r>
              <w:rPr>
                <w:rFonts w:hint="eastAsia" w:ascii="宋体" w:hAnsi="宋体" w:eastAsia="宋体" w:cs="宋体"/>
                <w:kern w:val="0"/>
                <w:szCs w:val="21"/>
              </w:rPr>
              <w:t>20</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E945E2B">
            <w:pPr>
              <w:widowControl/>
              <w:spacing w:after="150"/>
              <w:jc w:val="center"/>
              <w:rPr>
                <w:rFonts w:ascii="宋体" w:hAnsi="宋体" w:eastAsia="宋体" w:cs="宋体"/>
                <w:kern w:val="0"/>
                <w:szCs w:val="21"/>
              </w:rPr>
            </w:pPr>
            <w:r>
              <w:rPr>
                <w:rFonts w:hint="eastAsia" w:ascii="宋体" w:hAnsi="宋体" w:eastAsia="宋体" w:cs="宋体"/>
                <w:kern w:val="0"/>
                <w:szCs w:val="21"/>
              </w:rPr>
              <w:t>20</w:t>
            </w:r>
          </w:p>
        </w:tc>
        <w:tc>
          <w:tcPr>
            <w:tcW w:w="273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B133143">
            <w:pPr>
              <w:widowControl/>
              <w:spacing w:after="150"/>
              <w:jc w:val="center"/>
              <w:rPr>
                <w:rFonts w:ascii="宋体" w:hAnsi="宋体" w:eastAsia="宋体" w:cs="宋体"/>
                <w:kern w:val="0"/>
                <w:szCs w:val="21"/>
              </w:rPr>
            </w:pPr>
            <w:r>
              <w:rPr>
                <w:rFonts w:hint="eastAsia" w:ascii="宋体" w:hAnsi="宋体" w:eastAsia="宋体" w:cs="宋体"/>
                <w:kern w:val="0"/>
                <w:szCs w:val="21"/>
              </w:rPr>
              <w:t>20</w:t>
            </w:r>
          </w:p>
        </w:tc>
      </w:tr>
      <w:tr w14:paraId="17CD72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0B81A3F">
            <w:pPr>
              <w:widowControl/>
              <w:spacing w:after="150"/>
              <w:jc w:val="center"/>
              <w:rPr>
                <w:rFonts w:ascii="宋体" w:hAnsi="宋体" w:eastAsia="宋体" w:cs="宋体"/>
                <w:kern w:val="0"/>
                <w:szCs w:val="21"/>
              </w:rPr>
            </w:pPr>
            <w:r>
              <w:rPr>
                <w:rFonts w:hint="eastAsia" w:ascii="宋体" w:hAnsi="宋体" w:eastAsia="宋体" w:cs="宋体"/>
                <w:kern w:val="0"/>
                <w:szCs w:val="21"/>
              </w:rPr>
              <w:t>Ⅳ</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5A9D7128">
            <w:pPr>
              <w:widowControl/>
              <w:spacing w:after="150"/>
              <w:jc w:val="center"/>
              <w:rPr>
                <w:rFonts w:ascii="宋体" w:hAnsi="宋体" w:eastAsia="宋体" w:cs="宋体"/>
                <w:kern w:val="0"/>
                <w:szCs w:val="21"/>
              </w:rPr>
            </w:pPr>
            <w:r>
              <w:rPr>
                <w:rFonts w:hint="eastAsia" w:ascii="宋体" w:hAnsi="宋体" w:eastAsia="宋体" w:cs="宋体"/>
                <w:kern w:val="0"/>
                <w:szCs w:val="21"/>
              </w:rPr>
              <w:t>英译汉</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91FB52B">
            <w:pPr>
              <w:widowControl/>
              <w:spacing w:after="150"/>
              <w:jc w:val="center"/>
              <w:rPr>
                <w:rFonts w:ascii="宋体" w:hAnsi="宋体" w:eastAsia="宋体" w:cs="宋体"/>
                <w:kern w:val="0"/>
                <w:szCs w:val="21"/>
              </w:rPr>
            </w:pPr>
            <w:r>
              <w:rPr>
                <w:rFonts w:hint="eastAsia" w:ascii="宋体" w:hAnsi="宋体" w:eastAsia="宋体" w:cs="宋体"/>
                <w:kern w:val="0"/>
                <w:szCs w:val="21"/>
              </w:rPr>
              <w:t>1</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476DC2D">
            <w:pPr>
              <w:widowControl/>
              <w:spacing w:after="150"/>
              <w:jc w:val="center"/>
              <w:rPr>
                <w:rFonts w:ascii="宋体" w:hAnsi="宋体" w:eastAsia="宋体" w:cs="宋体"/>
                <w:kern w:val="0"/>
                <w:szCs w:val="21"/>
              </w:rPr>
            </w:pPr>
            <w:r>
              <w:rPr>
                <w:rFonts w:hint="eastAsia" w:ascii="宋体" w:hAnsi="宋体" w:eastAsia="宋体" w:cs="宋体"/>
                <w:kern w:val="0"/>
                <w:szCs w:val="21"/>
              </w:rPr>
              <w:t>15</w:t>
            </w:r>
          </w:p>
        </w:tc>
        <w:tc>
          <w:tcPr>
            <w:tcW w:w="273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FBD9982">
            <w:pPr>
              <w:widowControl/>
              <w:spacing w:after="150"/>
              <w:jc w:val="center"/>
              <w:rPr>
                <w:rFonts w:ascii="宋体" w:hAnsi="宋体" w:eastAsia="宋体" w:cs="宋体"/>
                <w:kern w:val="0"/>
                <w:szCs w:val="21"/>
              </w:rPr>
            </w:pPr>
            <w:r>
              <w:rPr>
                <w:rFonts w:hint="eastAsia" w:ascii="宋体" w:hAnsi="宋体" w:eastAsia="宋体" w:cs="宋体"/>
                <w:kern w:val="0"/>
                <w:szCs w:val="21"/>
              </w:rPr>
              <w:t>25</w:t>
            </w:r>
          </w:p>
        </w:tc>
      </w:tr>
      <w:tr w14:paraId="36140C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25F88AAD">
            <w:pPr>
              <w:widowControl/>
              <w:spacing w:after="150"/>
              <w:jc w:val="center"/>
              <w:rPr>
                <w:rFonts w:ascii="宋体" w:hAnsi="宋体" w:eastAsia="宋体" w:cs="宋体"/>
                <w:kern w:val="0"/>
                <w:szCs w:val="21"/>
              </w:rPr>
            </w:pPr>
            <w:r>
              <w:rPr>
                <w:rFonts w:hint="eastAsia" w:ascii="宋体" w:hAnsi="宋体" w:eastAsia="宋体" w:cs="宋体"/>
                <w:kern w:val="0"/>
                <w:szCs w:val="21"/>
              </w:rPr>
              <w:t>Ⅴ</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D9713CD">
            <w:pPr>
              <w:widowControl/>
              <w:spacing w:after="150"/>
              <w:jc w:val="center"/>
              <w:rPr>
                <w:rFonts w:ascii="宋体" w:hAnsi="宋体" w:eastAsia="宋体" w:cs="宋体"/>
                <w:kern w:val="0"/>
                <w:szCs w:val="21"/>
              </w:rPr>
            </w:pPr>
            <w:r>
              <w:rPr>
                <w:rFonts w:hint="eastAsia" w:ascii="宋体" w:hAnsi="宋体" w:eastAsia="宋体" w:cs="宋体"/>
                <w:kern w:val="0"/>
                <w:szCs w:val="21"/>
              </w:rPr>
              <w:t>短文写作</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067E376C">
            <w:pPr>
              <w:widowControl/>
              <w:spacing w:after="150"/>
              <w:jc w:val="center"/>
              <w:rPr>
                <w:rFonts w:ascii="宋体" w:hAnsi="宋体" w:eastAsia="宋体" w:cs="宋体"/>
                <w:kern w:val="0"/>
                <w:szCs w:val="21"/>
              </w:rPr>
            </w:pPr>
            <w:r>
              <w:rPr>
                <w:rFonts w:hint="eastAsia" w:ascii="宋体" w:hAnsi="宋体" w:eastAsia="宋体" w:cs="宋体"/>
                <w:kern w:val="0"/>
                <w:szCs w:val="21"/>
              </w:rPr>
              <w:t>1</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21B190D">
            <w:pPr>
              <w:widowControl/>
              <w:spacing w:after="150"/>
              <w:jc w:val="center"/>
              <w:rPr>
                <w:rFonts w:ascii="宋体" w:hAnsi="宋体" w:eastAsia="宋体" w:cs="宋体"/>
                <w:kern w:val="0"/>
                <w:szCs w:val="21"/>
              </w:rPr>
            </w:pPr>
            <w:r>
              <w:rPr>
                <w:rFonts w:hint="eastAsia" w:ascii="宋体" w:hAnsi="宋体" w:eastAsia="宋体" w:cs="宋体"/>
                <w:kern w:val="0"/>
                <w:szCs w:val="21"/>
              </w:rPr>
              <w:t>15</w:t>
            </w:r>
          </w:p>
        </w:tc>
        <w:tc>
          <w:tcPr>
            <w:tcW w:w="273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158B49FE">
            <w:pPr>
              <w:widowControl/>
              <w:spacing w:after="150"/>
              <w:jc w:val="center"/>
              <w:rPr>
                <w:rFonts w:ascii="宋体" w:hAnsi="宋体" w:eastAsia="宋体" w:cs="宋体"/>
                <w:kern w:val="0"/>
                <w:szCs w:val="21"/>
              </w:rPr>
            </w:pPr>
            <w:r>
              <w:rPr>
                <w:rFonts w:hint="eastAsia" w:ascii="宋体" w:hAnsi="宋体" w:eastAsia="宋体" w:cs="宋体"/>
                <w:kern w:val="0"/>
                <w:szCs w:val="21"/>
              </w:rPr>
              <w:t>30</w:t>
            </w:r>
          </w:p>
        </w:tc>
      </w:tr>
      <w:tr w14:paraId="056634E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7C20B814">
            <w:pPr>
              <w:widowControl/>
              <w:spacing w:after="150"/>
              <w:jc w:val="center"/>
              <w:rPr>
                <w:rFonts w:ascii="宋体" w:hAnsi="宋体" w:eastAsia="宋体" w:cs="宋体"/>
                <w:kern w:val="0"/>
                <w:szCs w:val="21"/>
              </w:rPr>
            </w:pPr>
            <w:r>
              <w:rPr>
                <w:rFonts w:hint="eastAsia" w:ascii="宋体" w:hAnsi="宋体" w:eastAsia="宋体" w:cs="宋体"/>
                <w:kern w:val="0"/>
                <w:szCs w:val="21"/>
              </w:rPr>
              <w:t>总计</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558DD11">
            <w:pPr>
              <w:widowControl/>
              <w:spacing w:after="150"/>
              <w:jc w:val="center"/>
              <w:rPr>
                <w:rFonts w:ascii="宋体" w:hAnsi="宋体" w:eastAsia="宋体" w:cs="宋体"/>
                <w:kern w:val="0"/>
                <w:szCs w:val="21"/>
              </w:rPr>
            </w:pP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11A7F51">
            <w:pPr>
              <w:widowControl/>
              <w:spacing w:after="150"/>
              <w:jc w:val="center"/>
              <w:rPr>
                <w:rFonts w:ascii="宋体" w:hAnsi="宋体" w:eastAsia="宋体" w:cs="宋体"/>
                <w:kern w:val="0"/>
                <w:szCs w:val="21"/>
              </w:rPr>
            </w:pPr>
            <w:r>
              <w:rPr>
                <w:rFonts w:hint="eastAsia" w:ascii="宋体" w:hAnsi="宋体" w:eastAsia="宋体" w:cs="宋体"/>
                <w:kern w:val="0"/>
                <w:szCs w:val="21"/>
              </w:rPr>
              <w:t>52</w:t>
            </w:r>
          </w:p>
        </w:tc>
        <w:tc>
          <w:tcPr>
            <w:tcW w:w="174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48480F4F">
            <w:pPr>
              <w:widowControl/>
              <w:spacing w:after="150"/>
              <w:jc w:val="center"/>
              <w:rPr>
                <w:rFonts w:ascii="宋体" w:hAnsi="宋体" w:eastAsia="宋体" w:cs="宋体"/>
                <w:kern w:val="0"/>
                <w:szCs w:val="21"/>
              </w:rPr>
            </w:pPr>
            <w:r>
              <w:rPr>
                <w:rFonts w:hint="eastAsia" w:ascii="宋体" w:hAnsi="宋体" w:eastAsia="宋体" w:cs="宋体"/>
                <w:kern w:val="0"/>
                <w:szCs w:val="21"/>
              </w:rPr>
              <w:t>100</w:t>
            </w:r>
          </w:p>
        </w:tc>
        <w:tc>
          <w:tcPr>
            <w:tcW w:w="273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14:paraId="3B2AA1A3">
            <w:pPr>
              <w:widowControl/>
              <w:spacing w:after="150"/>
              <w:jc w:val="center"/>
              <w:rPr>
                <w:rFonts w:ascii="宋体" w:hAnsi="宋体" w:eastAsia="宋体" w:cs="宋体"/>
                <w:kern w:val="0"/>
                <w:szCs w:val="21"/>
              </w:rPr>
            </w:pPr>
            <w:r>
              <w:rPr>
                <w:rFonts w:hint="eastAsia" w:ascii="宋体" w:hAnsi="宋体" w:eastAsia="宋体" w:cs="宋体"/>
                <w:kern w:val="0"/>
                <w:szCs w:val="21"/>
              </w:rPr>
              <w:t>120</w:t>
            </w:r>
          </w:p>
        </w:tc>
      </w:tr>
    </w:tbl>
    <w:p w14:paraId="76F431B5">
      <w:pPr>
        <w:rPr>
          <w:rFonts w:ascii="宋体" w:hAnsi="宋体" w:eastAsia="宋体"/>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FkOGFlZWU4Y2JjY2MyM2UzMzVmNDg5YmU5ZjA3ZDUifQ=="/>
  </w:docVars>
  <w:rsids>
    <w:rsidRoot w:val="001E09D1"/>
    <w:rsid w:val="001D01F7"/>
    <w:rsid w:val="001E09D1"/>
    <w:rsid w:val="004D2370"/>
    <w:rsid w:val="00C120A3"/>
    <w:rsid w:val="00C71B84"/>
    <w:rsid w:val="00CB7DB4"/>
    <w:rsid w:val="00D45D7B"/>
    <w:rsid w:val="00F953C0"/>
    <w:rsid w:val="0D8C6527"/>
    <w:rsid w:val="163C4337"/>
    <w:rsid w:val="2B427134"/>
    <w:rsid w:val="2C7B7A26"/>
    <w:rsid w:val="61AD3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1860</Words>
  <Characters>1938</Characters>
  <Lines>15</Lines>
  <Paragraphs>4</Paragraphs>
  <TotalTime>6</TotalTime>
  <ScaleCrop>false</ScaleCrop>
  <LinksUpToDate>false</LinksUpToDate>
  <CharactersWithSpaces>1952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2020-03-17T01:41:00Z</dcterms:created>
  <dc:creator>linlin</dc:creator>
  <cp:lastModifiedBy>嘎备至PLUS</cp:lastModifiedBy>
  <dcterms:modified xsi:type="dcterms:W3CDTF">2025-02-21T02:11:30Z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iioBoundaries">
    <vt:bool>true</vt:bool>
  </property>
  <property fmtid="{D5CDD505-2E9C-101B-9397-08002B2CF9AE}" pid="3" name="KSOProductBuildVer">
    <vt:lpwstr>2052-12.1.0.19770</vt:lpwstr>
  </property>
  <property fmtid="{D5CDD505-2E9C-101B-9397-08002B2CF9AE}" pid="4" name="ICV">
    <vt:lpwstr>20F900D3373F40F3ACD39EF6F420C776</vt:lpwstr>
  </property>
  <property fmtid="{D5CDD505-2E9C-101B-9397-08002B2CF9AE}" pid="5" name="KSOTemplateDocerSaveRecord">
    <vt:lpwstr>eyJoZGlkIjoiMGQ2MzZiYzQwOGE2ZTgxODBlYzg2OTI5NDVkMmZjZTQiLCJ1c2VySWQiOiI3MjI4NDc0ODUifQ==</vt:lpwstr>
  </property>
</Properties>
</file>